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E86A" w14:textId="77777777" w:rsidR="004721C3" w:rsidRDefault="004721C3" w:rsidP="004721C3">
      <w:pPr>
        <w:jc w:val="center"/>
        <w:rPr>
          <w:rFonts w:cs="Calibri"/>
          <w:b/>
          <w:bCs/>
          <w:sz w:val="24"/>
          <w:szCs w:val="24"/>
        </w:rPr>
      </w:pPr>
    </w:p>
    <w:p w14:paraId="165878B0" w14:textId="77777777" w:rsidR="00AF2849" w:rsidRDefault="00AF2849" w:rsidP="00AF2849">
      <w:pPr>
        <w:rPr>
          <w:rFonts w:ascii="Arial" w:hAnsi="Arial" w:cs="Arial"/>
          <w:b/>
          <w:bCs/>
        </w:rPr>
      </w:pPr>
    </w:p>
    <w:p w14:paraId="77A1FC08" w14:textId="77777777" w:rsidR="00F42057" w:rsidRPr="00F42057" w:rsidRDefault="00F42057" w:rsidP="00F42057">
      <w:pPr>
        <w:rPr>
          <w:rFonts w:ascii="Times New Roman" w:eastAsia="Calibri" w:hAnsi="Times New Roman"/>
          <w:b/>
          <w:bCs/>
          <w:sz w:val="24"/>
          <w:szCs w:val="24"/>
        </w:rPr>
      </w:pPr>
      <w:r w:rsidRPr="00F42057">
        <w:rPr>
          <w:rFonts w:ascii="Times New Roman" w:eastAsia="Calibri" w:hAnsi="Times New Roman"/>
          <w:b/>
          <w:bCs/>
          <w:sz w:val="24"/>
          <w:szCs w:val="24"/>
        </w:rPr>
        <w:t>SVEUČILIŠTE U ZAGREBU FILOZOFSKI FAKULTET</w:t>
      </w:r>
    </w:p>
    <w:p w14:paraId="1C4EA8EF" w14:textId="77777777" w:rsidR="00F42057" w:rsidRPr="00F42057" w:rsidRDefault="00F42057" w:rsidP="00F42057">
      <w:pPr>
        <w:rPr>
          <w:rFonts w:ascii="Times New Roman" w:eastAsia="Calibri" w:hAnsi="Times New Roman"/>
          <w:b/>
          <w:bCs/>
          <w:sz w:val="24"/>
          <w:szCs w:val="24"/>
        </w:rPr>
      </w:pPr>
    </w:p>
    <w:p w14:paraId="10B38D34" w14:textId="77777777" w:rsidR="00F42057" w:rsidRPr="00F42057" w:rsidRDefault="00F42057" w:rsidP="00F42057">
      <w:pPr>
        <w:rPr>
          <w:rFonts w:ascii="Times New Roman" w:eastAsia="Calibri" w:hAnsi="Times New Roman"/>
          <w:b/>
          <w:bCs/>
          <w:sz w:val="24"/>
          <w:szCs w:val="24"/>
        </w:rPr>
      </w:pPr>
      <w:r w:rsidRPr="00F42057">
        <w:rPr>
          <w:rFonts w:ascii="Times New Roman" w:eastAsia="Calibri" w:hAnsi="Times New Roman"/>
          <w:b/>
          <w:bCs/>
          <w:sz w:val="24"/>
          <w:szCs w:val="24"/>
        </w:rPr>
        <w:t>IVANA LUČIĆA 3</w:t>
      </w:r>
    </w:p>
    <w:p w14:paraId="533CB617" w14:textId="77777777" w:rsidR="00F42057" w:rsidRPr="00F42057" w:rsidRDefault="00F42057" w:rsidP="00F42057">
      <w:pPr>
        <w:rPr>
          <w:rFonts w:ascii="Times New Roman" w:eastAsia="Calibri" w:hAnsi="Times New Roman"/>
          <w:b/>
          <w:bCs/>
          <w:sz w:val="24"/>
          <w:szCs w:val="24"/>
        </w:rPr>
      </w:pPr>
      <w:r w:rsidRPr="00F42057">
        <w:rPr>
          <w:rFonts w:ascii="Times New Roman" w:eastAsia="Calibri" w:hAnsi="Times New Roman"/>
          <w:b/>
          <w:bCs/>
          <w:sz w:val="24"/>
          <w:szCs w:val="24"/>
        </w:rPr>
        <w:t>10000 ZAGREB</w:t>
      </w:r>
    </w:p>
    <w:p w14:paraId="5B228504" w14:textId="77777777" w:rsidR="00F42057" w:rsidRPr="00F42057" w:rsidRDefault="00F42057" w:rsidP="00F42057">
      <w:pPr>
        <w:rPr>
          <w:rFonts w:ascii="Times New Roman" w:eastAsia="Calibri" w:hAnsi="Times New Roman"/>
          <w:b/>
          <w:bCs/>
          <w:sz w:val="24"/>
          <w:szCs w:val="24"/>
        </w:rPr>
      </w:pPr>
    </w:p>
    <w:p w14:paraId="5655E389" w14:textId="77777777" w:rsidR="00F42057" w:rsidRPr="00F42057" w:rsidRDefault="00F42057" w:rsidP="00F42057">
      <w:pPr>
        <w:rPr>
          <w:rFonts w:ascii="Times New Roman" w:eastAsia="Calibri" w:hAnsi="Times New Roman"/>
          <w:b/>
          <w:bCs/>
          <w:sz w:val="24"/>
          <w:szCs w:val="24"/>
        </w:rPr>
      </w:pPr>
      <w:r w:rsidRPr="00F42057">
        <w:rPr>
          <w:rFonts w:ascii="Times New Roman" w:eastAsia="Calibri" w:hAnsi="Times New Roman"/>
          <w:b/>
          <w:bCs/>
          <w:sz w:val="24"/>
          <w:szCs w:val="24"/>
        </w:rPr>
        <w:t>OIB: 90633715804</w:t>
      </w:r>
    </w:p>
    <w:p w14:paraId="3806ECFD" w14:textId="77777777" w:rsidR="00F42057" w:rsidRPr="00F42057" w:rsidRDefault="00F42057" w:rsidP="00F42057">
      <w:pPr>
        <w:rPr>
          <w:rFonts w:ascii="Times New Roman" w:eastAsia="Calibri" w:hAnsi="Times New Roman"/>
          <w:b/>
          <w:bCs/>
          <w:sz w:val="24"/>
          <w:szCs w:val="24"/>
        </w:rPr>
      </w:pPr>
      <w:r w:rsidRPr="00F42057">
        <w:rPr>
          <w:rFonts w:ascii="Times New Roman" w:eastAsia="Calibri" w:hAnsi="Times New Roman"/>
          <w:b/>
          <w:bCs/>
          <w:sz w:val="24"/>
          <w:szCs w:val="24"/>
        </w:rPr>
        <w:t>RKP: 1958</w:t>
      </w:r>
    </w:p>
    <w:p w14:paraId="5B1AA784" w14:textId="77777777" w:rsidR="00AF2849" w:rsidRPr="00CD268B" w:rsidRDefault="00AF2849" w:rsidP="00AF2849">
      <w:pPr>
        <w:rPr>
          <w:rFonts w:ascii="Times New Roman" w:hAnsi="Times New Roman"/>
          <w:b/>
          <w:bCs/>
        </w:rPr>
      </w:pPr>
    </w:p>
    <w:p w14:paraId="1E1AE2CA" w14:textId="77777777" w:rsidR="00AF2849" w:rsidRPr="00CD268B" w:rsidRDefault="00AF2849" w:rsidP="00AF2849">
      <w:pPr>
        <w:rPr>
          <w:rFonts w:ascii="Times New Roman" w:hAnsi="Times New Roman"/>
          <w:b/>
          <w:bCs/>
        </w:rPr>
      </w:pPr>
    </w:p>
    <w:p w14:paraId="087B1A21" w14:textId="77777777" w:rsidR="00AF2849" w:rsidRPr="00CD268B" w:rsidRDefault="00AF2849" w:rsidP="00AF2849">
      <w:pPr>
        <w:rPr>
          <w:rFonts w:ascii="Times New Roman" w:hAnsi="Times New Roman"/>
          <w:b/>
          <w:bCs/>
        </w:rPr>
      </w:pPr>
    </w:p>
    <w:p w14:paraId="485E876A" w14:textId="7391B50B" w:rsidR="005A76B0" w:rsidRPr="00CD268B" w:rsidRDefault="00E73D64" w:rsidP="00AF2849">
      <w:pPr>
        <w:rPr>
          <w:rFonts w:ascii="Times New Roman" w:hAnsi="Times New Roman"/>
          <w:b/>
          <w:bCs/>
          <w:sz w:val="24"/>
          <w:szCs w:val="24"/>
        </w:rPr>
      </w:pPr>
      <w:r w:rsidRPr="00CD268B">
        <w:rPr>
          <w:rFonts w:ascii="Times New Roman" w:hAnsi="Times New Roman"/>
          <w:b/>
          <w:bCs/>
          <w:sz w:val="24"/>
          <w:szCs w:val="24"/>
        </w:rPr>
        <w:t xml:space="preserve">             </w:t>
      </w:r>
    </w:p>
    <w:p w14:paraId="6D7DCE2A" w14:textId="77777777" w:rsidR="005A76B0" w:rsidRPr="00CD268B" w:rsidRDefault="005A76B0" w:rsidP="00AF2849">
      <w:pPr>
        <w:rPr>
          <w:rFonts w:ascii="Times New Roman" w:hAnsi="Times New Roman"/>
          <w:b/>
          <w:bCs/>
          <w:sz w:val="24"/>
          <w:szCs w:val="24"/>
        </w:rPr>
      </w:pPr>
    </w:p>
    <w:p w14:paraId="0E5B073D" w14:textId="0B2E7B69" w:rsidR="00AF2849" w:rsidRPr="00CD268B" w:rsidRDefault="00AF2849" w:rsidP="005A76B0">
      <w:pPr>
        <w:jc w:val="center"/>
        <w:rPr>
          <w:rFonts w:ascii="Times New Roman" w:hAnsi="Times New Roman"/>
          <w:b/>
          <w:bCs/>
          <w:sz w:val="24"/>
          <w:szCs w:val="24"/>
        </w:rPr>
      </w:pPr>
      <w:r w:rsidRPr="00CD268B">
        <w:rPr>
          <w:rFonts w:ascii="Times New Roman" w:hAnsi="Times New Roman"/>
          <w:b/>
          <w:bCs/>
          <w:sz w:val="24"/>
          <w:szCs w:val="24"/>
        </w:rPr>
        <w:t xml:space="preserve">OBRAZLOŽENJE </w:t>
      </w:r>
      <w:r w:rsidR="009A285B" w:rsidRPr="00CD268B">
        <w:rPr>
          <w:rFonts w:ascii="Times New Roman" w:hAnsi="Times New Roman"/>
          <w:b/>
          <w:bCs/>
          <w:sz w:val="24"/>
          <w:szCs w:val="24"/>
        </w:rPr>
        <w:t xml:space="preserve">POSEBNOG DIJELA </w:t>
      </w:r>
      <w:r w:rsidRPr="00CD268B">
        <w:rPr>
          <w:rFonts w:ascii="Times New Roman" w:hAnsi="Times New Roman"/>
          <w:b/>
          <w:bCs/>
          <w:sz w:val="24"/>
          <w:szCs w:val="24"/>
        </w:rPr>
        <w:t>FINANCIJSKOG PLANA ZA 202</w:t>
      </w:r>
      <w:r w:rsidR="005F5708" w:rsidRPr="00CD268B">
        <w:rPr>
          <w:rFonts w:ascii="Times New Roman" w:hAnsi="Times New Roman"/>
          <w:b/>
          <w:bCs/>
          <w:sz w:val="24"/>
          <w:szCs w:val="24"/>
        </w:rPr>
        <w:t>3</w:t>
      </w:r>
      <w:r w:rsidR="00F42057" w:rsidRPr="00CD268B">
        <w:rPr>
          <w:rFonts w:ascii="Times New Roman" w:hAnsi="Times New Roman"/>
          <w:b/>
          <w:bCs/>
          <w:sz w:val="24"/>
          <w:szCs w:val="24"/>
        </w:rPr>
        <w:t xml:space="preserve"> </w:t>
      </w:r>
      <w:r w:rsidR="005F5708" w:rsidRPr="00CD268B">
        <w:rPr>
          <w:rFonts w:ascii="Times New Roman" w:hAnsi="Times New Roman"/>
          <w:b/>
          <w:bCs/>
          <w:sz w:val="24"/>
          <w:szCs w:val="24"/>
        </w:rPr>
        <w:t>.</w:t>
      </w:r>
      <w:r w:rsidR="007562C0">
        <w:rPr>
          <w:rFonts w:ascii="Times New Roman" w:hAnsi="Times New Roman"/>
          <w:b/>
          <w:bCs/>
          <w:sz w:val="24"/>
          <w:szCs w:val="24"/>
        </w:rPr>
        <w:t xml:space="preserve"> </w:t>
      </w:r>
      <w:r w:rsidR="005F5708" w:rsidRPr="00CD268B">
        <w:rPr>
          <w:rFonts w:ascii="Times New Roman" w:hAnsi="Times New Roman"/>
          <w:b/>
          <w:bCs/>
          <w:sz w:val="24"/>
          <w:szCs w:val="24"/>
        </w:rPr>
        <w:t>-</w:t>
      </w:r>
      <w:r w:rsidR="00F42057" w:rsidRPr="00CD268B">
        <w:rPr>
          <w:rFonts w:ascii="Times New Roman" w:hAnsi="Times New Roman"/>
          <w:b/>
          <w:bCs/>
          <w:sz w:val="24"/>
          <w:szCs w:val="24"/>
        </w:rPr>
        <w:t xml:space="preserve"> </w:t>
      </w:r>
      <w:r w:rsidR="005F5708" w:rsidRPr="00CD268B">
        <w:rPr>
          <w:rFonts w:ascii="Times New Roman" w:hAnsi="Times New Roman"/>
          <w:b/>
          <w:bCs/>
          <w:sz w:val="24"/>
          <w:szCs w:val="24"/>
        </w:rPr>
        <w:t>2025</w:t>
      </w:r>
      <w:r w:rsidRPr="00CD268B">
        <w:rPr>
          <w:rFonts w:ascii="Times New Roman" w:hAnsi="Times New Roman"/>
          <w:b/>
          <w:bCs/>
          <w:sz w:val="24"/>
          <w:szCs w:val="24"/>
        </w:rPr>
        <w:t>. GODINU</w:t>
      </w:r>
    </w:p>
    <w:p w14:paraId="55316AE1" w14:textId="77777777" w:rsidR="00AF2849" w:rsidRPr="00CD268B" w:rsidRDefault="00AF2849" w:rsidP="00AF2849">
      <w:pPr>
        <w:rPr>
          <w:rFonts w:ascii="Times New Roman" w:hAnsi="Times New Roman"/>
          <w:b/>
          <w:bCs/>
        </w:rPr>
      </w:pPr>
    </w:p>
    <w:p w14:paraId="63DE0AA9" w14:textId="77777777" w:rsidR="00AF2849" w:rsidRPr="00CD268B" w:rsidRDefault="00AF2849" w:rsidP="00AF2849">
      <w:pPr>
        <w:rPr>
          <w:rFonts w:ascii="Times New Roman" w:hAnsi="Times New Roman"/>
          <w:b/>
          <w:bCs/>
        </w:rPr>
      </w:pPr>
    </w:p>
    <w:p w14:paraId="584BD5D3" w14:textId="77777777" w:rsidR="00AF2849" w:rsidRPr="00CD268B" w:rsidRDefault="00AF2849" w:rsidP="00AF2849">
      <w:pPr>
        <w:rPr>
          <w:rFonts w:ascii="Times New Roman" w:hAnsi="Times New Roman"/>
          <w:b/>
          <w:bCs/>
        </w:rPr>
      </w:pPr>
    </w:p>
    <w:p w14:paraId="7056F716" w14:textId="7B43ECB6" w:rsidR="00AF2849" w:rsidRDefault="00AF2849" w:rsidP="00AF2849">
      <w:pPr>
        <w:rPr>
          <w:rFonts w:ascii="Times New Roman" w:hAnsi="Times New Roman"/>
          <w:b/>
          <w:bCs/>
        </w:rPr>
      </w:pPr>
    </w:p>
    <w:p w14:paraId="77DD0B75" w14:textId="77777777" w:rsidR="00CD268B" w:rsidRPr="00CD268B" w:rsidRDefault="00CD268B" w:rsidP="00AF2849">
      <w:pPr>
        <w:rPr>
          <w:rFonts w:ascii="Times New Roman" w:hAnsi="Times New Roman"/>
          <w:b/>
          <w:bCs/>
        </w:rPr>
      </w:pPr>
    </w:p>
    <w:p w14:paraId="5351F55C" w14:textId="77777777" w:rsidR="00AF2849" w:rsidRPr="00CD268B" w:rsidRDefault="00AF2849" w:rsidP="00AF2849">
      <w:pPr>
        <w:rPr>
          <w:rFonts w:ascii="Times New Roman" w:hAnsi="Times New Roman"/>
          <w:b/>
          <w:bCs/>
        </w:rPr>
      </w:pPr>
    </w:p>
    <w:p w14:paraId="11B8D805" w14:textId="77777777" w:rsidR="00CD268B" w:rsidRPr="00CD268B" w:rsidRDefault="00CD268B" w:rsidP="00CD268B">
      <w:pPr>
        <w:rPr>
          <w:rFonts w:ascii="Times New Roman" w:hAnsi="Times New Roman"/>
          <w:b/>
          <w:bCs/>
          <w:sz w:val="24"/>
          <w:szCs w:val="24"/>
        </w:rPr>
      </w:pPr>
      <w:r w:rsidRPr="00CD268B">
        <w:rPr>
          <w:rFonts w:ascii="Times New Roman" w:hAnsi="Times New Roman"/>
          <w:b/>
          <w:bCs/>
          <w:sz w:val="24"/>
          <w:szCs w:val="24"/>
        </w:rPr>
        <w:t>UVOD – SAŽETAK DJELOKRUGA RADA</w:t>
      </w:r>
    </w:p>
    <w:p w14:paraId="0A3EB9B2" w14:textId="77777777" w:rsidR="00AF2849" w:rsidRPr="00CD268B" w:rsidRDefault="00AF2849" w:rsidP="00AF2849">
      <w:pPr>
        <w:rPr>
          <w:rFonts w:ascii="Times New Roman" w:hAnsi="Times New Roman"/>
          <w:b/>
          <w:bCs/>
        </w:rPr>
      </w:pPr>
    </w:p>
    <w:p w14:paraId="23668B07" w14:textId="77777777" w:rsidR="00AF2849" w:rsidRPr="00CD268B" w:rsidRDefault="00AF2849" w:rsidP="00AF2849">
      <w:pPr>
        <w:rPr>
          <w:rFonts w:ascii="Times New Roman" w:hAnsi="Times New Roman"/>
          <w:b/>
          <w:bCs/>
        </w:rPr>
      </w:pPr>
    </w:p>
    <w:p w14:paraId="2FF04936" w14:textId="77777777" w:rsidR="004721C3" w:rsidRPr="00CD268B" w:rsidRDefault="004721C3" w:rsidP="00AF2849">
      <w:pPr>
        <w:rPr>
          <w:rFonts w:ascii="Times New Roman" w:hAnsi="Times New Roman"/>
          <w:b/>
          <w:bCs/>
        </w:rPr>
      </w:pPr>
    </w:p>
    <w:p w14:paraId="5212EB67" w14:textId="1802A960" w:rsidR="00F563C5" w:rsidRPr="00F563C5" w:rsidRDefault="00F563C5" w:rsidP="00EE47F1">
      <w:pPr>
        <w:spacing w:after="160" w:line="276" w:lineRule="auto"/>
        <w:ind w:firstLine="360"/>
        <w:jc w:val="both"/>
        <w:rPr>
          <w:rFonts w:ascii="Times New Roman" w:eastAsia="Yu Mincho" w:hAnsi="Times New Roman"/>
          <w:sz w:val="24"/>
          <w:szCs w:val="24"/>
        </w:rPr>
      </w:pPr>
      <w:r w:rsidRPr="00F563C5">
        <w:rPr>
          <w:rFonts w:ascii="Times New Roman" w:eastAsia="Yu Mincho" w:hAnsi="Times New Roman"/>
          <w:bCs/>
          <w:sz w:val="24"/>
          <w:szCs w:val="24"/>
        </w:rPr>
        <w:t>Djelatnosti Fakulteta:</w:t>
      </w:r>
      <w:r w:rsidR="00F010AA">
        <w:rPr>
          <w:rFonts w:ascii="Times New Roman" w:eastAsia="Yu Mincho" w:hAnsi="Times New Roman"/>
          <w:sz w:val="24"/>
          <w:szCs w:val="24"/>
        </w:rPr>
        <w:t xml:space="preserve"> </w:t>
      </w:r>
      <w:r w:rsidRPr="00F563C5">
        <w:rPr>
          <w:rFonts w:ascii="Times New Roman" w:eastAsia="Yu Mincho" w:hAnsi="Times New Roman"/>
          <w:sz w:val="24"/>
          <w:szCs w:val="24"/>
        </w:rPr>
        <w:t xml:space="preserve">obrazovanje studenata na preddiplomskom, diplomskom i poslijediplomskom znanstvenom i stručnom studiju u znanstvenim područjima društvenih i humanističkih znanosti; stručno usavršavanje nastavnika; znanstveno-istraživačka djelatnost;  izrada i provedba znanstvenih, istraživačkih i stručnih projekata;  provedba postupka izbora u odgovarajuća zvanja u skladu sa Zakonom i drugim propisima; </w:t>
      </w:r>
      <w:r w:rsidR="00F010AA">
        <w:rPr>
          <w:rFonts w:ascii="Times New Roman" w:eastAsia="Yu Mincho" w:hAnsi="Times New Roman"/>
          <w:sz w:val="24"/>
          <w:szCs w:val="24"/>
        </w:rPr>
        <w:t xml:space="preserve"> </w:t>
      </w:r>
      <w:r w:rsidRPr="00F563C5">
        <w:rPr>
          <w:rFonts w:ascii="Times New Roman" w:eastAsia="Yu Mincho" w:hAnsi="Times New Roman"/>
          <w:sz w:val="24"/>
          <w:szCs w:val="24"/>
        </w:rPr>
        <w:t>obrazovanje odraslih;</w:t>
      </w:r>
      <w:r w:rsidR="00F010AA">
        <w:rPr>
          <w:rFonts w:ascii="Times New Roman" w:eastAsia="Yu Mincho" w:hAnsi="Times New Roman"/>
          <w:sz w:val="24"/>
          <w:szCs w:val="24"/>
        </w:rPr>
        <w:t xml:space="preserve"> </w:t>
      </w:r>
      <w:r w:rsidRPr="00F563C5">
        <w:rPr>
          <w:rFonts w:ascii="Times New Roman" w:eastAsia="Yu Mincho" w:hAnsi="Times New Roman"/>
          <w:sz w:val="24"/>
          <w:szCs w:val="24"/>
        </w:rPr>
        <w:t xml:space="preserve"> izdavaštvo</w:t>
      </w:r>
      <w:r w:rsidR="009769F2">
        <w:rPr>
          <w:rFonts w:ascii="Times New Roman" w:eastAsia="Yu Mincho" w:hAnsi="Times New Roman"/>
          <w:sz w:val="24"/>
          <w:szCs w:val="24"/>
        </w:rPr>
        <w:t xml:space="preserve"> i </w:t>
      </w:r>
      <w:r w:rsidRPr="00F563C5">
        <w:rPr>
          <w:rFonts w:ascii="Times New Roman" w:eastAsia="Yu Mincho" w:hAnsi="Times New Roman"/>
          <w:sz w:val="24"/>
          <w:szCs w:val="24"/>
        </w:rPr>
        <w:t>pružanje usluga trgovačkim društvima i drugim organizacijama kada to služi razvoju osnovne djelatnosti.</w:t>
      </w:r>
    </w:p>
    <w:p w14:paraId="64C3FA46" w14:textId="2DDCF7E0" w:rsidR="004721C3" w:rsidRDefault="00EE04B5" w:rsidP="00EE47F1">
      <w:pPr>
        <w:spacing w:line="276" w:lineRule="auto"/>
        <w:jc w:val="both"/>
        <w:rPr>
          <w:rFonts w:cs="Calibri"/>
          <w:b/>
          <w:bCs/>
        </w:rPr>
      </w:pPr>
      <w:r w:rsidRPr="00EE04B5">
        <w:rPr>
          <w:rFonts w:ascii="Times New Roman" w:eastAsia="Yu Mincho" w:hAnsi="Times New Roman"/>
          <w:sz w:val="24"/>
          <w:szCs w:val="24"/>
        </w:rPr>
        <w:t>Naši</w:t>
      </w:r>
      <w:r w:rsidR="001E583A">
        <w:rPr>
          <w:rFonts w:ascii="Times New Roman" w:eastAsia="Yu Mincho" w:hAnsi="Times New Roman"/>
          <w:sz w:val="24"/>
          <w:szCs w:val="24"/>
        </w:rPr>
        <w:t xml:space="preserve"> se</w:t>
      </w:r>
      <w:r w:rsidRPr="00EE04B5">
        <w:rPr>
          <w:rFonts w:ascii="Times New Roman" w:eastAsia="Yu Mincho" w:hAnsi="Times New Roman"/>
          <w:sz w:val="24"/>
          <w:szCs w:val="24"/>
        </w:rPr>
        <w:t xml:space="preserve"> studenti obrazuju za preuzimanje </w:t>
      </w:r>
      <w:r w:rsidR="001E583A">
        <w:rPr>
          <w:rFonts w:ascii="Times New Roman" w:eastAsia="Yu Mincho" w:hAnsi="Times New Roman"/>
          <w:sz w:val="24"/>
          <w:szCs w:val="24"/>
        </w:rPr>
        <w:t xml:space="preserve">odgovornih </w:t>
      </w:r>
      <w:r w:rsidRPr="00EE04B5">
        <w:rPr>
          <w:rFonts w:ascii="Times New Roman" w:eastAsia="Yu Mincho" w:hAnsi="Times New Roman"/>
          <w:sz w:val="24"/>
          <w:szCs w:val="24"/>
        </w:rPr>
        <w:t xml:space="preserve">uloga </w:t>
      </w:r>
      <w:r w:rsidR="001E583A">
        <w:rPr>
          <w:rFonts w:ascii="Times New Roman" w:eastAsia="Yu Mincho" w:hAnsi="Times New Roman"/>
          <w:sz w:val="24"/>
          <w:szCs w:val="24"/>
        </w:rPr>
        <w:t xml:space="preserve">u </w:t>
      </w:r>
      <w:r w:rsidRPr="00EE04B5">
        <w:rPr>
          <w:rFonts w:ascii="Times New Roman" w:eastAsia="Yu Mincho" w:hAnsi="Times New Roman"/>
          <w:sz w:val="24"/>
          <w:szCs w:val="24"/>
        </w:rPr>
        <w:t>društv</w:t>
      </w:r>
      <w:r w:rsidR="001E583A">
        <w:rPr>
          <w:rFonts w:ascii="Times New Roman" w:eastAsia="Yu Mincho" w:hAnsi="Times New Roman"/>
          <w:sz w:val="24"/>
          <w:szCs w:val="24"/>
        </w:rPr>
        <w:t>u</w:t>
      </w:r>
      <w:r w:rsidR="00D66DB4">
        <w:rPr>
          <w:rFonts w:ascii="Times New Roman" w:eastAsia="Yu Mincho" w:hAnsi="Times New Roman"/>
          <w:sz w:val="24"/>
          <w:szCs w:val="24"/>
        </w:rPr>
        <w:t xml:space="preserve"> kao što su </w:t>
      </w:r>
      <w:r w:rsidRPr="00EE04B5">
        <w:rPr>
          <w:rFonts w:ascii="Times New Roman" w:eastAsia="Yu Mincho" w:hAnsi="Times New Roman"/>
          <w:sz w:val="24"/>
          <w:szCs w:val="24"/>
        </w:rPr>
        <w:t xml:space="preserve"> nastavničk</w:t>
      </w:r>
      <w:r w:rsidR="00D66DB4">
        <w:rPr>
          <w:rFonts w:ascii="Times New Roman" w:eastAsia="Yu Mincho" w:hAnsi="Times New Roman"/>
          <w:sz w:val="24"/>
          <w:szCs w:val="24"/>
        </w:rPr>
        <w:t>e</w:t>
      </w:r>
      <w:r w:rsidRPr="00EE04B5">
        <w:rPr>
          <w:rFonts w:ascii="Times New Roman" w:eastAsia="Yu Mincho" w:hAnsi="Times New Roman"/>
          <w:sz w:val="24"/>
          <w:szCs w:val="24"/>
        </w:rPr>
        <w:t>,</w:t>
      </w:r>
      <w:r w:rsidR="00D66DB4">
        <w:rPr>
          <w:rFonts w:ascii="Times New Roman" w:eastAsia="Yu Mincho" w:hAnsi="Times New Roman"/>
          <w:sz w:val="24"/>
          <w:szCs w:val="24"/>
        </w:rPr>
        <w:t xml:space="preserve"> </w:t>
      </w:r>
      <w:r w:rsidRPr="00EE04B5">
        <w:rPr>
          <w:rFonts w:ascii="Times New Roman" w:eastAsia="Yu Mincho" w:hAnsi="Times New Roman"/>
          <w:sz w:val="24"/>
          <w:szCs w:val="24"/>
        </w:rPr>
        <w:t>istraživačk</w:t>
      </w:r>
      <w:r w:rsidR="00D66DB4">
        <w:rPr>
          <w:rFonts w:ascii="Times New Roman" w:eastAsia="Yu Mincho" w:hAnsi="Times New Roman"/>
          <w:sz w:val="24"/>
          <w:szCs w:val="24"/>
        </w:rPr>
        <w:t xml:space="preserve">e, </w:t>
      </w:r>
      <w:r w:rsidRPr="00EE04B5">
        <w:rPr>
          <w:rFonts w:ascii="Times New Roman" w:eastAsia="Yu Mincho" w:hAnsi="Times New Roman"/>
          <w:sz w:val="24"/>
          <w:szCs w:val="24"/>
        </w:rPr>
        <w:t xml:space="preserve"> kultur</w:t>
      </w:r>
      <w:r w:rsidR="00D66DB4">
        <w:rPr>
          <w:rFonts w:ascii="Times New Roman" w:eastAsia="Yu Mincho" w:hAnsi="Times New Roman"/>
          <w:sz w:val="24"/>
          <w:szCs w:val="24"/>
        </w:rPr>
        <w:t>e</w:t>
      </w:r>
      <w:r w:rsidRPr="00EE04B5">
        <w:rPr>
          <w:rFonts w:ascii="Times New Roman" w:eastAsia="Yu Mincho" w:hAnsi="Times New Roman"/>
          <w:sz w:val="24"/>
          <w:szCs w:val="24"/>
        </w:rPr>
        <w:t xml:space="preserve"> i stručn</w:t>
      </w:r>
      <w:r w:rsidR="00D66DB4">
        <w:rPr>
          <w:rFonts w:ascii="Times New Roman" w:eastAsia="Yu Mincho" w:hAnsi="Times New Roman"/>
          <w:sz w:val="24"/>
          <w:szCs w:val="24"/>
        </w:rPr>
        <w:t>e</w:t>
      </w:r>
      <w:r w:rsidRPr="00EE04B5">
        <w:rPr>
          <w:rFonts w:ascii="Times New Roman" w:eastAsia="Yu Mincho" w:hAnsi="Times New Roman"/>
          <w:sz w:val="24"/>
          <w:szCs w:val="24"/>
        </w:rPr>
        <w:t>.</w:t>
      </w:r>
      <w:r w:rsidR="00AE2293">
        <w:rPr>
          <w:rFonts w:cs="Calibri"/>
          <w:b/>
          <w:bCs/>
        </w:rPr>
        <w:t xml:space="preserve"> </w:t>
      </w:r>
      <w:r w:rsidR="00B150E7">
        <w:rPr>
          <w:rFonts w:ascii="Times New Roman" w:eastAsia="Yu Mincho" w:hAnsi="Times New Roman"/>
          <w:sz w:val="24"/>
          <w:szCs w:val="24"/>
        </w:rPr>
        <w:t xml:space="preserve">Proces se </w:t>
      </w:r>
      <w:r w:rsidR="00F522C1" w:rsidRPr="00F522C1">
        <w:rPr>
          <w:rFonts w:ascii="Times New Roman" w:eastAsia="Yu Mincho" w:hAnsi="Times New Roman"/>
          <w:sz w:val="24"/>
          <w:szCs w:val="24"/>
        </w:rPr>
        <w:t>vodi načel</w:t>
      </w:r>
      <w:r w:rsidR="00B150E7">
        <w:rPr>
          <w:rFonts w:ascii="Times New Roman" w:eastAsia="Yu Mincho" w:hAnsi="Times New Roman"/>
          <w:sz w:val="24"/>
          <w:szCs w:val="24"/>
        </w:rPr>
        <w:t>ima</w:t>
      </w:r>
      <w:r w:rsidR="0059277A">
        <w:rPr>
          <w:rFonts w:ascii="Times New Roman" w:eastAsia="Yu Mincho" w:hAnsi="Times New Roman"/>
          <w:sz w:val="24"/>
          <w:szCs w:val="24"/>
        </w:rPr>
        <w:t xml:space="preserve"> podučavanja</w:t>
      </w:r>
      <w:r w:rsidR="00B150E7">
        <w:rPr>
          <w:rFonts w:ascii="Times New Roman" w:eastAsia="Yu Mincho" w:hAnsi="Times New Roman"/>
          <w:sz w:val="24"/>
          <w:szCs w:val="24"/>
        </w:rPr>
        <w:t xml:space="preserve"> </w:t>
      </w:r>
      <w:r w:rsidR="00F522C1" w:rsidRPr="00F522C1">
        <w:rPr>
          <w:rFonts w:ascii="Times New Roman" w:eastAsia="Yu Mincho" w:hAnsi="Times New Roman"/>
          <w:sz w:val="24"/>
          <w:szCs w:val="24"/>
        </w:rPr>
        <w:t>temeljenog na istraživanju, otvorenosti i etičnosti.</w:t>
      </w:r>
      <w:r w:rsidR="00C92BE3">
        <w:rPr>
          <w:rFonts w:ascii="Times New Roman" w:eastAsia="Yu Mincho" w:hAnsi="Times New Roman"/>
          <w:sz w:val="24"/>
          <w:szCs w:val="24"/>
        </w:rPr>
        <w:t xml:space="preserve"> Integrirani smo u europski istraživački prostor. </w:t>
      </w:r>
      <w:r w:rsidR="00F62631">
        <w:rPr>
          <w:rFonts w:ascii="Times New Roman" w:eastAsia="Yu Mincho" w:hAnsi="Times New Roman"/>
          <w:sz w:val="24"/>
          <w:szCs w:val="24"/>
        </w:rPr>
        <w:t xml:space="preserve">Time mladim istraživačima omogućavamo pristup naprednim tehnologijama i vještinama. </w:t>
      </w:r>
      <w:r w:rsidR="00572EC1">
        <w:rPr>
          <w:rFonts w:ascii="Times New Roman" w:eastAsia="Yu Mincho" w:hAnsi="Times New Roman"/>
          <w:sz w:val="24"/>
          <w:szCs w:val="24"/>
        </w:rPr>
        <w:t>Sveučilišne studije izvodimo na svi</w:t>
      </w:r>
      <w:r w:rsidR="002A2CA6">
        <w:rPr>
          <w:rFonts w:ascii="Times New Roman" w:eastAsia="Yu Mincho" w:hAnsi="Times New Roman"/>
          <w:sz w:val="24"/>
          <w:szCs w:val="24"/>
        </w:rPr>
        <w:t>m</w:t>
      </w:r>
      <w:r w:rsidR="00572EC1">
        <w:rPr>
          <w:rFonts w:ascii="Times New Roman" w:eastAsia="Yu Mincho" w:hAnsi="Times New Roman"/>
          <w:sz w:val="24"/>
          <w:szCs w:val="24"/>
        </w:rPr>
        <w:t xml:space="preserve"> trima razinama visok</w:t>
      </w:r>
      <w:r w:rsidR="002359D5">
        <w:rPr>
          <w:rFonts w:ascii="Times New Roman" w:eastAsia="Yu Mincho" w:hAnsi="Times New Roman"/>
          <w:sz w:val="24"/>
          <w:szCs w:val="24"/>
        </w:rPr>
        <w:t>og obrazovanja: preddiplomskoj, diplomskoj i poslijediplomskoj</w:t>
      </w:r>
      <w:r w:rsidR="00D6473E">
        <w:rPr>
          <w:rFonts w:ascii="Times New Roman" w:eastAsia="Yu Mincho" w:hAnsi="Times New Roman"/>
          <w:sz w:val="24"/>
          <w:szCs w:val="24"/>
        </w:rPr>
        <w:t xml:space="preserve">. </w:t>
      </w:r>
      <w:r w:rsidR="00CB11B2">
        <w:rPr>
          <w:rFonts w:ascii="Times New Roman" w:eastAsia="Yu Mincho" w:hAnsi="Times New Roman"/>
          <w:sz w:val="24"/>
          <w:szCs w:val="24"/>
        </w:rPr>
        <w:t xml:space="preserve">Trenutno se izvode 92 sveučilišna </w:t>
      </w:r>
      <w:r w:rsidR="00C52B34">
        <w:rPr>
          <w:rFonts w:ascii="Times New Roman" w:eastAsia="Yu Mincho" w:hAnsi="Times New Roman"/>
          <w:sz w:val="24"/>
          <w:szCs w:val="24"/>
        </w:rPr>
        <w:t>studija programa</w:t>
      </w:r>
      <w:r w:rsidR="001B3BBB">
        <w:rPr>
          <w:rFonts w:ascii="Times New Roman" w:eastAsia="Yu Mincho" w:hAnsi="Times New Roman"/>
          <w:sz w:val="24"/>
          <w:szCs w:val="24"/>
        </w:rPr>
        <w:t>, te 15 poslijediploms</w:t>
      </w:r>
      <w:r w:rsidR="00F33D1A">
        <w:rPr>
          <w:rFonts w:ascii="Times New Roman" w:eastAsia="Yu Mincho" w:hAnsi="Times New Roman"/>
          <w:sz w:val="24"/>
          <w:szCs w:val="24"/>
        </w:rPr>
        <w:t>kih sveučilišnih (doktorskih</w:t>
      </w:r>
      <w:r w:rsidR="00C95AE4">
        <w:rPr>
          <w:rFonts w:ascii="Times New Roman" w:eastAsia="Yu Mincho" w:hAnsi="Times New Roman"/>
          <w:sz w:val="24"/>
          <w:szCs w:val="24"/>
        </w:rPr>
        <w:t>)</w:t>
      </w:r>
      <w:r w:rsidR="00F33D1A">
        <w:rPr>
          <w:rFonts w:ascii="Times New Roman" w:eastAsia="Yu Mincho" w:hAnsi="Times New Roman"/>
          <w:sz w:val="24"/>
          <w:szCs w:val="24"/>
        </w:rPr>
        <w:t xml:space="preserve"> studija</w:t>
      </w:r>
      <w:r w:rsidR="00C95AE4">
        <w:rPr>
          <w:rFonts w:ascii="Times New Roman" w:eastAsia="Yu Mincho" w:hAnsi="Times New Roman"/>
          <w:sz w:val="24"/>
          <w:szCs w:val="24"/>
        </w:rPr>
        <w:t xml:space="preserve"> i 6 poslijediplomskih </w:t>
      </w:r>
      <w:r w:rsidR="005E1858">
        <w:rPr>
          <w:rFonts w:ascii="Times New Roman" w:eastAsia="Yu Mincho" w:hAnsi="Times New Roman"/>
          <w:sz w:val="24"/>
          <w:szCs w:val="24"/>
        </w:rPr>
        <w:t xml:space="preserve">specijalističkih studija. </w:t>
      </w:r>
    </w:p>
    <w:p w14:paraId="4D652EF6" w14:textId="4289C5A6" w:rsidR="004721C3" w:rsidRDefault="004721C3" w:rsidP="00EE47F1">
      <w:pPr>
        <w:spacing w:line="276" w:lineRule="auto"/>
        <w:rPr>
          <w:rFonts w:cs="Calibri"/>
          <w:b/>
          <w:bCs/>
        </w:rPr>
      </w:pPr>
    </w:p>
    <w:p w14:paraId="3A70520A" w14:textId="61E5A032" w:rsidR="001A7E98" w:rsidRPr="00856617" w:rsidRDefault="001A7E98" w:rsidP="00820861">
      <w:pPr>
        <w:spacing w:line="276" w:lineRule="auto"/>
        <w:jc w:val="both"/>
        <w:rPr>
          <w:rFonts w:ascii="Times New Roman" w:eastAsia="Yu Mincho" w:hAnsi="Times New Roman"/>
          <w:sz w:val="24"/>
          <w:szCs w:val="24"/>
        </w:rPr>
      </w:pPr>
      <w:r>
        <w:rPr>
          <w:rFonts w:ascii="Times New Roman" w:eastAsia="Yu Mincho" w:hAnsi="Times New Roman"/>
          <w:sz w:val="24"/>
          <w:szCs w:val="24"/>
        </w:rPr>
        <w:t>Ciljevi programa cjeloživotnog učenja</w:t>
      </w:r>
      <w:r w:rsidR="001935E3">
        <w:rPr>
          <w:rFonts w:ascii="Times New Roman" w:eastAsia="Yu Mincho" w:hAnsi="Times New Roman"/>
          <w:sz w:val="24"/>
          <w:szCs w:val="24"/>
        </w:rPr>
        <w:t xml:space="preserve"> jesu ponuditi različite programe</w:t>
      </w:r>
      <w:r w:rsidR="004F672F" w:rsidRPr="004F672F">
        <w:rPr>
          <w:rFonts w:ascii="Times New Roman" w:eastAsia="Yu Mincho" w:hAnsi="Times New Roman"/>
          <w:sz w:val="24"/>
          <w:szCs w:val="24"/>
        </w:rPr>
        <w:t xml:space="preserve"> </w:t>
      </w:r>
      <w:r w:rsidR="004F672F">
        <w:rPr>
          <w:rFonts w:ascii="Times New Roman" w:eastAsia="Yu Mincho" w:hAnsi="Times New Roman"/>
          <w:sz w:val="24"/>
          <w:szCs w:val="24"/>
        </w:rPr>
        <w:t>obrazovanja odraslih</w:t>
      </w:r>
      <w:r w:rsidR="00856617">
        <w:rPr>
          <w:rFonts w:ascii="Times New Roman" w:eastAsia="Yu Mincho" w:hAnsi="Times New Roman"/>
          <w:sz w:val="24"/>
          <w:szCs w:val="24"/>
        </w:rPr>
        <w:t xml:space="preserve"> </w:t>
      </w:r>
      <w:r w:rsidRPr="001A7E98">
        <w:rPr>
          <w:rFonts w:ascii="Times New Roman" w:eastAsia="Yu Mincho" w:hAnsi="Times New Roman"/>
          <w:sz w:val="24"/>
          <w:szCs w:val="24"/>
        </w:rPr>
        <w:t>:</w:t>
      </w:r>
      <w:r w:rsidR="00856617">
        <w:rPr>
          <w:rFonts w:ascii="Times New Roman" w:eastAsia="Yu Mincho" w:hAnsi="Times New Roman"/>
          <w:sz w:val="24"/>
          <w:szCs w:val="24"/>
        </w:rPr>
        <w:t xml:space="preserve"> </w:t>
      </w:r>
      <w:r w:rsidRPr="001A7E98">
        <w:rPr>
          <w:rFonts w:ascii="Times New Roman" w:eastAsia="Yu Mincho" w:hAnsi="Times New Roman"/>
          <w:sz w:val="24"/>
          <w:szCs w:val="24"/>
        </w:rPr>
        <w:t>od pojedinačnih modula preko tečajeva i specijalističkih studija do mogućnosti upisivanja cjelovitih studijskih programa.</w:t>
      </w:r>
      <w:r w:rsidR="00856617">
        <w:rPr>
          <w:rFonts w:ascii="Times New Roman" w:eastAsia="Yu Mincho" w:hAnsi="Times New Roman"/>
          <w:sz w:val="24"/>
          <w:szCs w:val="24"/>
        </w:rPr>
        <w:t xml:space="preserve"> </w:t>
      </w:r>
      <w:r w:rsidR="00A83352">
        <w:rPr>
          <w:rFonts w:ascii="Times New Roman" w:eastAsia="Yu Mincho" w:hAnsi="Times New Roman"/>
          <w:sz w:val="24"/>
          <w:szCs w:val="24"/>
        </w:rPr>
        <w:t>V</w:t>
      </w:r>
      <w:r w:rsidRPr="001A7E98">
        <w:rPr>
          <w:rFonts w:ascii="Times New Roman" w:eastAsia="Yu Mincho" w:hAnsi="Times New Roman"/>
          <w:sz w:val="24"/>
          <w:szCs w:val="24"/>
        </w:rPr>
        <w:t>ažn</w:t>
      </w:r>
      <w:r w:rsidR="00A83352">
        <w:rPr>
          <w:rFonts w:ascii="Times New Roman" w:eastAsia="Yu Mincho" w:hAnsi="Times New Roman"/>
          <w:sz w:val="24"/>
          <w:szCs w:val="24"/>
        </w:rPr>
        <w:t>o</w:t>
      </w:r>
      <w:r w:rsidR="00856617">
        <w:rPr>
          <w:rFonts w:ascii="Times New Roman" w:eastAsia="Yu Mincho" w:hAnsi="Times New Roman"/>
          <w:sz w:val="24"/>
          <w:szCs w:val="24"/>
        </w:rPr>
        <w:t xml:space="preserve"> je provoditi</w:t>
      </w:r>
      <w:r w:rsidRPr="001A7E98">
        <w:rPr>
          <w:rFonts w:ascii="Times New Roman" w:eastAsia="Yu Mincho" w:hAnsi="Times New Roman"/>
          <w:sz w:val="24"/>
          <w:szCs w:val="24"/>
        </w:rPr>
        <w:t xml:space="preserve"> programe za psihološko, didaktičko-metodičko, andragoško i stručno dodatno cjeloživotno obrazovanje i osposobljavanje postojećih i budućih odgojitelja, učitelja, nastavnika i stručnih suradnika (savjetnika, mentora i trenera) koji rade u sustavu obrazovanja odraslih</w:t>
      </w:r>
      <w:r w:rsidR="00856617">
        <w:rPr>
          <w:rFonts w:ascii="Times New Roman" w:eastAsia="Yu Mincho" w:hAnsi="Times New Roman"/>
          <w:sz w:val="24"/>
          <w:szCs w:val="24"/>
        </w:rPr>
        <w:t>.</w:t>
      </w:r>
    </w:p>
    <w:p w14:paraId="709B4045" w14:textId="67C19683" w:rsidR="004770AC" w:rsidRDefault="004770AC" w:rsidP="00F3320C">
      <w:pPr>
        <w:rPr>
          <w:b/>
          <w:sz w:val="24"/>
          <w:szCs w:val="24"/>
        </w:rPr>
      </w:pPr>
    </w:p>
    <w:p w14:paraId="08B81275" w14:textId="47DDAE79" w:rsidR="00F3320C" w:rsidRDefault="00F3320C" w:rsidP="00F3320C">
      <w:pPr>
        <w:rPr>
          <w:b/>
          <w:sz w:val="24"/>
          <w:szCs w:val="24"/>
        </w:rPr>
      </w:pPr>
    </w:p>
    <w:p w14:paraId="1E7B30C0" w14:textId="77777777" w:rsidR="00F3320C" w:rsidRDefault="00F3320C" w:rsidP="00F3320C">
      <w:pPr>
        <w:rPr>
          <w:b/>
          <w:sz w:val="24"/>
          <w:szCs w:val="24"/>
        </w:rPr>
      </w:pPr>
    </w:p>
    <w:p w14:paraId="0EFD7D6C" w14:textId="77777777" w:rsidR="002A0FB9" w:rsidRPr="007376A7" w:rsidRDefault="002A0FB9" w:rsidP="00E851E8">
      <w:pPr>
        <w:spacing w:after="176" w:line="252" w:lineRule="auto"/>
        <w:ind w:left="326" w:right="4"/>
        <w:jc w:val="both"/>
        <w:rPr>
          <w:rFonts w:ascii="Times New Roman" w:hAnsi="Times New Roman"/>
          <w:b/>
          <w:i/>
          <w:sz w:val="24"/>
          <w:szCs w:val="24"/>
        </w:rPr>
      </w:pPr>
      <w:r w:rsidRPr="007376A7">
        <w:rPr>
          <w:rFonts w:ascii="Times New Roman" w:hAnsi="Times New Roman"/>
          <w:b/>
          <w:i/>
          <w:sz w:val="24"/>
          <w:szCs w:val="24"/>
        </w:rPr>
        <w:lastRenderedPageBreak/>
        <w:t>A621001 Redovna djelatnost Sveučilišta u Zagrebu</w:t>
      </w:r>
    </w:p>
    <w:p w14:paraId="4594FCD4" w14:textId="77777777" w:rsidR="00E63F62" w:rsidRDefault="00E63F62" w:rsidP="00E851E8">
      <w:pPr>
        <w:spacing w:after="176" w:line="252" w:lineRule="auto"/>
        <w:ind w:left="326" w:right="4"/>
        <w:jc w:val="both"/>
        <w:rPr>
          <w:rFonts w:ascii="Times New Roman" w:hAnsi="Times New Roman"/>
          <w:sz w:val="24"/>
          <w:szCs w:val="24"/>
        </w:rPr>
      </w:pPr>
    </w:p>
    <w:p w14:paraId="2DC15082" w14:textId="561A2F4A" w:rsidR="00E851E8"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Zakonske i druge pravne osnove</w:t>
      </w:r>
    </w:p>
    <w:p w14:paraId="6C3A4E83"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Zakon o znanstvenoj djelatnosti i visokom obrazovanju</w:t>
      </w:r>
    </w:p>
    <w:p w14:paraId="13E2D5C7"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Uredba o nazivima radnih mjesta i koeficijenata složenosti poslova u javnim službama</w:t>
      </w:r>
    </w:p>
    <w:p w14:paraId="002FF336"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Temeljni kolektivni ugovor za službenike i namještenike u javnim službama</w:t>
      </w:r>
    </w:p>
    <w:p w14:paraId="4A920FC5"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Kolektivni ugovor za znanost i visoko obrazovanje</w:t>
      </w:r>
    </w:p>
    <w:p w14:paraId="6073D866" w14:textId="3E2DA957" w:rsidR="002A0FB9"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Zakon o ustanovama</w:t>
      </w:r>
    </w:p>
    <w:p w14:paraId="78C63BA1" w14:textId="1D1F8354" w:rsidR="00384CDF" w:rsidRPr="007376A7" w:rsidRDefault="00384CDF" w:rsidP="00E851E8">
      <w:pPr>
        <w:spacing w:after="176" w:line="252" w:lineRule="auto"/>
        <w:ind w:left="326" w:right="4"/>
        <w:jc w:val="both"/>
        <w:rPr>
          <w:rFonts w:ascii="Times New Roman" w:hAnsi="Times New Roman"/>
          <w:sz w:val="24"/>
          <w:szCs w:val="24"/>
        </w:rPr>
      </w:pPr>
      <w:r>
        <w:rPr>
          <w:rFonts w:ascii="Times New Roman" w:hAnsi="Times New Roman"/>
          <w:sz w:val="24"/>
          <w:szCs w:val="24"/>
        </w:rPr>
        <w:t>- Zakon o osi</w:t>
      </w:r>
      <w:r w:rsidR="00FA6491">
        <w:rPr>
          <w:rFonts w:ascii="Times New Roman" w:hAnsi="Times New Roman"/>
          <w:sz w:val="24"/>
          <w:szCs w:val="24"/>
        </w:rPr>
        <w:t>guranju kvalitete u znanosti i visokom obrazovanju</w:t>
      </w:r>
    </w:p>
    <w:p w14:paraId="5741B57E"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Upute za izradu financijskog plana razdjela 080 – Ministarstvo znanosti i obrazovanja za razdoblje</w:t>
      </w:r>
    </w:p>
    <w:p w14:paraId="0EDC86F5" w14:textId="77777777" w:rsidR="002A0FB9" w:rsidRPr="007376A7" w:rsidRDefault="002A0FB9" w:rsidP="00E851E8">
      <w:pPr>
        <w:spacing w:after="176" w:line="252" w:lineRule="auto"/>
        <w:ind w:left="326" w:right="4"/>
        <w:jc w:val="both"/>
        <w:rPr>
          <w:rFonts w:ascii="Times New Roman" w:hAnsi="Times New Roman"/>
          <w:sz w:val="24"/>
          <w:szCs w:val="24"/>
        </w:rPr>
      </w:pPr>
      <w:r w:rsidRPr="007376A7">
        <w:rPr>
          <w:rFonts w:ascii="Times New Roman" w:hAnsi="Times New Roman"/>
          <w:sz w:val="24"/>
          <w:szCs w:val="24"/>
        </w:rPr>
        <w:t xml:space="preserve">   2023. – 2025.</w:t>
      </w:r>
    </w:p>
    <w:p w14:paraId="3D3212DC" w14:textId="77777777" w:rsidR="002A0FB9" w:rsidRDefault="002A0FB9" w:rsidP="00E851E8">
      <w:pPr>
        <w:spacing w:after="176" w:line="252" w:lineRule="auto"/>
        <w:ind w:left="326" w:right="4"/>
        <w:jc w:val="both"/>
        <w:rPr>
          <w:sz w:val="24"/>
          <w:szCs w:val="24"/>
        </w:rPr>
      </w:pPr>
      <w:r>
        <w:rPr>
          <w:sz w:val="24"/>
          <w:szCs w:val="24"/>
        </w:rPr>
        <w:t>- Upute za izradu prijedloga financijskog plana Sveučilišta u Zagrebu za razdoblje 2023.- 2025.</w:t>
      </w:r>
    </w:p>
    <w:tbl>
      <w:tblPr>
        <w:tblStyle w:val="TableGrid"/>
        <w:tblW w:w="0" w:type="auto"/>
        <w:tblInd w:w="326" w:type="dxa"/>
        <w:tblLook w:val="04A0" w:firstRow="1" w:lastRow="0" w:firstColumn="1" w:lastColumn="0" w:noHBand="0" w:noVBand="1"/>
      </w:tblPr>
      <w:tblGrid>
        <w:gridCol w:w="1751"/>
        <w:gridCol w:w="1651"/>
        <w:gridCol w:w="1651"/>
        <w:gridCol w:w="1651"/>
        <w:gridCol w:w="1651"/>
        <w:gridCol w:w="1507"/>
      </w:tblGrid>
      <w:tr w:rsidR="001C0B4B" w14:paraId="73C55EAE" w14:textId="77777777" w:rsidTr="001C0B4B">
        <w:tc>
          <w:tcPr>
            <w:tcW w:w="1751" w:type="dxa"/>
          </w:tcPr>
          <w:p w14:paraId="450A620E" w14:textId="77777777" w:rsidR="001C0B4B" w:rsidRDefault="001C0B4B" w:rsidP="00E851E8">
            <w:pPr>
              <w:spacing w:after="176" w:line="252" w:lineRule="auto"/>
              <w:ind w:right="4"/>
              <w:jc w:val="both"/>
              <w:rPr>
                <w:sz w:val="24"/>
                <w:szCs w:val="24"/>
              </w:rPr>
            </w:pPr>
          </w:p>
        </w:tc>
        <w:tc>
          <w:tcPr>
            <w:tcW w:w="1651" w:type="dxa"/>
          </w:tcPr>
          <w:p w14:paraId="3A608EA6" w14:textId="77777777" w:rsidR="001C0B4B" w:rsidRDefault="001C0B4B" w:rsidP="00C04B3C">
            <w:pPr>
              <w:spacing w:after="176" w:line="252" w:lineRule="auto"/>
              <w:ind w:right="4"/>
              <w:jc w:val="both"/>
              <w:rPr>
                <w:sz w:val="24"/>
                <w:szCs w:val="24"/>
              </w:rPr>
            </w:pPr>
            <w:r>
              <w:rPr>
                <w:sz w:val="24"/>
                <w:szCs w:val="24"/>
              </w:rPr>
              <w:t>Plan 2022.</w:t>
            </w:r>
          </w:p>
        </w:tc>
        <w:tc>
          <w:tcPr>
            <w:tcW w:w="1651" w:type="dxa"/>
          </w:tcPr>
          <w:p w14:paraId="254D4ECC" w14:textId="77777777" w:rsidR="001C0B4B" w:rsidRDefault="001C0B4B" w:rsidP="00E851E8">
            <w:pPr>
              <w:spacing w:after="176" w:line="252" w:lineRule="auto"/>
              <w:ind w:right="4"/>
              <w:jc w:val="both"/>
              <w:rPr>
                <w:sz w:val="24"/>
                <w:szCs w:val="24"/>
              </w:rPr>
            </w:pPr>
            <w:r>
              <w:rPr>
                <w:sz w:val="24"/>
                <w:szCs w:val="24"/>
              </w:rPr>
              <w:t>Plan 2023.</w:t>
            </w:r>
          </w:p>
        </w:tc>
        <w:tc>
          <w:tcPr>
            <w:tcW w:w="1651" w:type="dxa"/>
          </w:tcPr>
          <w:p w14:paraId="21D4AF71" w14:textId="77777777" w:rsidR="001C0B4B" w:rsidRDefault="001C0B4B" w:rsidP="00E851E8">
            <w:pPr>
              <w:spacing w:after="176" w:line="252" w:lineRule="auto"/>
              <w:ind w:right="4"/>
              <w:jc w:val="both"/>
              <w:rPr>
                <w:sz w:val="24"/>
                <w:szCs w:val="24"/>
              </w:rPr>
            </w:pPr>
            <w:r>
              <w:rPr>
                <w:sz w:val="24"/>
                <w:szCs w:val="24"/>
              </w:rPr>
              <w:t>Plan 2024.</w:t>
            </w:r>
          </w:p>
        </w:tc>
        <w:tc>
          <w:tcPr>
            <w:tcW w:w="1651" w:type="dxa"/>
          </w:tcPr>
          <w:p w14:paraId="775B58E4" w14:textId="77777777" w:rsidR="001C0B4B" w:rsidRDefault="001C0B4B" w:rsidP="00E851E8">
            <w:pPr>
              <w:spacing w:after="176" w:line="252" w:lineRule="auto"/>
              <w:ind w:right="4"/>
              <w:jc w:val="both"/>
              <w:rPr>
                <w:sz w:val="24"/>
                <w:szCs w:val="24"/>
              </w:rPr>
            </w:pPr>
            <w:r>
              <w:rPr>
                <w:sz w:val="24"/>
                <w:szCs w:val="24"/>
              </w:rPr>
              <w:t>Plan 2025.</w:t>
            </w:r>
          </w:p>
        </w:tc>
        <w:tc>
          <w:tcPr>
            <w:tcW w:w="1507" w:type="dxa"/>
          </w:tcPr>
          <w:p w14:paraId="066E10AD" w14:textId="77777777" w:rsidR="001C0B4B" w:rsidRDefault="001C0B4B" w:rsidP="00E851E8">
            <w:pPr>
              <w:spacing w:after="176" w:line="252" w:lineRule="auto"/>
              <w:ind w:right="4"/>
              <w:jc w:val="both"/>
              <w:rPr>
                <w:sz w:val="24"/>
                <w:szCs w:val="24"/>
              </w:rPr>
            </w:pPr>
            <w:r>
              <w:rPr>
                <w:sz w:val="24"/>
                <w:szCs w:val="24"/>
              </w:rPr>
              <w:t>Indeks</w:t>
            </w:r>
          </w:p>
          <w:p w14:paraId="47827B6A" w14:textId="77777777" w:rsidR="001C0B4B" w:rsidRDefault="001C0B4B" w:rsidP="00E851E8">
            <w:pPr>
              <w:spacing w:after="176" w:line="252" w:lineRule="auto"/>
              <w:ind w:right="4"/>
              <w:jc w:val="both"/>
              <w:rPr>
                <w:sz w:val="24"/>
                <w:szCs w:val="24"/>
              </w:rPr>
            </w:pPr>
            <w:r>
              <w:rPr>
                <w:sz w:val="24"/>
                <w:szCs w:val="24"/>
              </w:rPr>
              <w:t>2023</w:t>
            </w:r>
            <w:r w:rsidR="005A2E9C">
              <w:rPr>
                <w:sz w:val="24"/>
                <w:szCs w:val="24"/>
              </w:rPr>
              <w:t>.</w:t>
            </w:r>
            <w:r>
              <w:rPr>
                <w:sz w:val="24"/>
                <w:szCs w:val="24"/>
              </w:rPr>
              <w:t>/2022</w:t>
            </w:r>
            <w:r w:rsidR="005A2E9C">
              <w:rPr>
                <w:sz w:val="24"/>
                <w:szCs w:val="24"/>
              </w:rPr>
              <w:t>.</w:t>
            </w:r>
          </w:p>
        </w:tc>
      </w:tr>
      <w:tr w:rsidR="001C0B4B" w14:paraId="747064FA" w14:textId="77777777" w:rsidTr="001C0B4B">
        <w:tc>
          <w:tcPr>
            <w:tcW w:w="1751" w:type="dxa"/>
          </w:tcPr>
          <w:p w14:paraId="75CE3CDB" w14:textId="77777777" w:rsidR="001C0B4B" w:rsidRDefault="001C0B4B" w:rsidP="00E851E8">
            <w:pPr>
              <w:spacing w:after="176" w:line="252" w:lineRule="auto"/>
              <w:ind w:right="4"/>
              <w:jc w:val="both"/>
              <w:rPr>
                <w:sz w:val="24"/>
                <w:szCs w:val="24"/>
              </w:rPr>
            </w:pPr>
            <w:r>
              <w:rPr>
                <w:sz w:val="24"/>
                <w:szCs w:val="24"/>
              </w:rPr>
              <w:t>A621001</w:t>
            </w:r>
          </w:p>
        </w:tc>
        <w:tc>
          <w:tcPr>
            <w:tcW w:w="1651" w:type="dxa"/>
          </w:tcPr>
          <w:p w14:paraId="0401A34F" w14:textId="22CCCA9B" w:rsidR="001C0B4B" w:rsidRDefault="00151516" w:rsidP="00E851E8">
            <w:pPr>
              <w:spacing w:after="176" w:line="252" w:lineRule="auto"/>
              <w:ind w:right="4"/>
              <w:jc w:val="both"/>
              <w:rPr>
                <w:sz w:val="24"/>
                <w:szCs w:val="24"/>
              </w:rPr>
            </w:pPr>
            <w:r>
              <w:rPr>
                <w:sz w:val="24"/>
                <w:szCs w:val="24"/>
              </w:rPr>
              <w:t>19.</w:t>
            </w:r>
            <w:r w:rsidR="00390A6B">
              <w:rPr>
                <w:sz w:val="24"/>
                <w:szCs w:val="24"/>
              </w:rPr>
              <w:t>974.825</w:t>
            </w:r>
          </w:p>
        </w:tc>
        <w:tc>
          <w:tcPr>
            <w:tcW w:w="1651" w:type="dxa"/>
          </w:tcPr>
          <w:p w14:paraId="4DE2CA04" w14:textId="786BB710" w:rsidR="001C0B4B" w:rsidRDefault="002B12C6" w:rsidP="00E851E8">
            <w:pPr>
              <w:spacing w:after="176" w:line="252" w:lineRule="auto"/>
              <w:ind w:right="4"/>
              <w:jc w:val="both"/>
              <w:rPr>
                <w:sz w:val="24"/>
                <w:szCs w:val="24"/>
              </w:rPr>
            </w:pPr>
            <w:r>
              <w:rPr>
                <w:sz w:val="24"/>
                <w:szCs w:val="24"/>
              </w:rPr>
              <w:t>2</w:t>
            </w:r>
            <w:r w:rsidR="00F234C1">
              <w:rPr>
                <w:sz w:val="24"/>
                <w:szCs w:val="24"/>
              </w:rPr>
              <w:t>3.778.651</w:t>
            </w:r>
          </w:p>
        </w:tc>
        <w:tc>
          <w:tcPr>
            <w:tcW w:w="1651" w:type="dxa"/>
          </w:tcPr>
          <w:p w14:paraId="106CDDC3" w14:textId="220822F8" w:rsidR="001C0B4B" w:rsidRDefault="00E91ADB" w:rsidP="00E851E8">
            <w:pPr>
              <w:spacing w:after="176" w:line="252" w:lineRule="auto"/>
              <w:ind w:right="4"/>
              <w:jc w:val="both"/>
              <w:rPr>
                <w:sz w:val="24"/>
                <w:szCs w:val="24"/>
              </w:rPr>
            </w:pPr>
            <w:r>
              <w:rPr>
                <w:sz w:val="24"/>
                <w:szCs w:val="24"/>
              </w:rPr>
              <w:t>2</w:t>
            </w:r>
            <w:r w:rsidR="00D5622C">
              <w:rPr>
                <w:sz w:val="24"/>
                <w:szCs w:val="24"/>
              </w:rPr>
              <w:t>3.891.593</w:t>
            </w:r>
          </w:p>
        </w:tc>
        <w:tc>
          <w:tcPr>
            <w:tcW w:w="1651" w:type="dxa"/>
          </w:tcPr>
          <w:p w14:paraId="3B84414E" w14:textId="7858885A" w:rsidR="001C0B4B" w:rsidRDefault="00E91ADB" w:rsidP="00E851E8">
            <w:pPr>
              <w:spacing w:after="176" w:line="252" w:lineRule="auto"/>
              <w:ind w:right="4"/>
              <w:jc w:val="both"/>
              <w:rPr>
                <w:sz w:val="24"/>
                <w:szCs w:val="24"/>
              </w:rPr>
            </w:pPr>
            <w:r>
              <w:rPr>
                <w:sz w:val="24"/>
                <w:szCs w:val="24"/>
              </w:rPr>
              <w:t>2</w:t>
            </w:r>
            <w:r w:rsidR="00D5622C">
              <w:rPr>
                <w:sz w:val="24"/>
                <w:szCs w:val="24"/>
              </w:rPr>
              <w:t>4.005.112</w:t>
            </w:r>
          </w:p>
        </w:tc>
        <w:tc>
          <w:tcPr>
            <w:tcW w:w="1507" w:type="dxa"/>
          </w:tcPr>
          <w:p w14:paraId="5BCA2167" w14:textId="2817BDCC" w:rsidR="001C0B4B" w:rsidRDefault="001C0B4B" w:rsidP="00E851E8">
            <w:pPr>
              <w:spacing w:after="176" w:line="252" w:lineRule="auto"/>
              <w:ind w:right="4"/>
              <w:jc w:val="both"/>
              <w:rPr>
                <w:sz w:val="24"/>
                <w:szCs w:val="24"/>
              </w:rPr>
            </w:pPr>
            <w:r>
              <w:rPr>
                <w:sz w:val="24"/>
                <w:szCs w:val="24"/>
              </w:rPr>
              <w:t>1</w:t>
            </w:r>
            <w:r w:rsidR="004B6526">
              <w:rPr>
                <w:sz w:val="24"/>
                <w:szCs w:val="24"/>
              </w:rPr>
              <w:t>19,04</w:t>
            </w:r>
          </w:p>
        </w:tc>
      </w:tr>
    </w:tbl>
    <w:p w14:paraId="16DEAEA1" w14:textId="77777777" w:rsidR="002A0FB9" w:rsidRDefault="002A0FB9" w:rsidP="00E851E8">
      <w:pPr>
        <w:spacing w:after="176" w:line="252" w:lineRule="auto"/>
        <w:ind w:left="326" w:right="4"/>
        <w:jc w:val="both"/>
        <w:rPr>
          <w:sz w:val="24"/>
          <w:szCs w:val="24"/>
        </w:rPr>
      </w:pPr>
      <w:r>
        <w:rPr>
          <w:sz w:val="24"/>
          <w:szCs w:val="24"/>
        </w:rPr>
        <w:t xml:space="preserve"> </w:t>
      </w:r>
    </w:p>
    <w:p w14:paraId="7DFD697F" w14:textId="25F865BC" w:rsidR="006D5CF2" w:rsidRDefault="005A2E9C" w:rsidP="00E851E8">
      <w:pPr>
        <w:spacing w:after="176" w:line="252" w:lineRule="auto"/>
        <w:ind w:left="326" w:right="4"/>
        <w:jc w:val="both"/>
        <w:rPr>
          <w:sz w:val="24"/>
          <w:szCs w:val="24"/>
        </w:rPr>
      </w:pPr>
      <w:r>
        <w:rPr>
          <w:sz w:val="24"/>
          <w:szCs w:val="24"/>
        </w:rPr>
        <w:t xml:space="preserve">Ova aktivnost </w:t>
      </w:r>
      <w:r w:rsidR="0086275D">
        <w:rPr>
          <w:sz w:val="24"/>
          <w:szCs w:val="24"/>
        </w:rPr>
        <w:t xml:space="preserve">provodi </w:t>
      </w:r>
      <w:r w:rsidR="00C777DD">
        <w:rPr>
          <w:sz w:val="24"/>
          <w:szCs w:val="24"/>
        </w:rPr>
        <w:t xml:space="preserve">se redovito, a financira se iz Općih prihoda i primitaka odnosno iz Državnog proračuna. </w:t>
      </w:r>
      <w:r w:rsidR="00436F4E">
        <w:rPr>
          <w:sz w:val="24"/>
          <w:szCs w:val="24"/>
        </w:rPr>
        <w:t xml:space="preserve">Aktivnost se odnosi na </w:t>
      </w:r>
      <w:r w:rsidR="003F5165">
        <w:rPr>
          <w:sz w:val="24"/>
          <w:szCs w:val="24"/>
        </w:rPr>
        <w:t xml:space="preserve">planiranje rashoda za </w:t>
      </w:r>
      <w:r w:rsidR="00DA46B0">
        <w:rPr>
          <w:sz w:val="24"/>
          <w:szCs w:val="24"/>
        </w:rPr>
        <w:t>plaće</w:t>
      </w:r>
      <w:r w:rsidR="003F5165">
        <w:rPr>
          <w:sz w:val="24"/>
          <w:szCs w:val="24"/>
        </w:rPr>
        <w:t xml:space="preserve"> i </w:t>
      </w:r>
      <w:r w:rsidR="00DA46B0">
        <w:rPr>
          <w:sz w:val="24"/>
          <w:szCs w:val="24"/>
        </w:rPr>
        <w:t xml:space="preserve"> druge </w:t>
      </w:r>
      <w:r w:rsidR="003F5165">
        <w:rPr>
          <w:sz w:val="24"/>
          <w:szCs w:val="24"/>
        </w:rPr>
        <w:t>mat</w:t>
      </w:r>
      <w:r w:rsidR="00A2500A">
        <w:rPr>
          <w:sz w:val="24"/>
          <w:szCs w:val="24"/>
        </w:rPr>
        <w:t xml:space="preserve">erijalne rashode. </w:t>
      </w:r>
    </w:p>
    <w:p w14:paraId="1BE09E07" w14:textId="254B5B9F" w:rsidR="006E29FA" w:rsidRDefault="006E29FA" w:rsidP="00E851E8">
      <w:pPr>
        <w:spacing w:after="176" w:line="252" w:lineRule="auto"/>
        <w:ind w:left="326" w:right="4"/>
        <w:jc w:val="both"/>
        <w:rPr>
          <w:sz w:val="24"/>
          <w:szCs w:val="24"/>
        </w:rPr>
      </w:pPr>
    </w:p>
    <w:p w14:paraId="5706ABAA" w14:textId="77777777" w:rsidR="008E278F" w:rsidRDefault="008E278F" w:rsidP="00E851E8">
      <w:pPr>
        <w:spacing w:after="176" w:line="252" w:lineRule="auto"/>
        <w:ind w:left="326" w:right="4"/>
        <w:jc w:val="both"/>
        <w:rPr>
          <w:sz w:val="24"/>
          <w:szCs w:val="24"/>
        </w:rPr>
      </w:pPr>
    </w:p>
    <w:p w14:paraId="131B2606" w14:textId="77777777" w:rsidR="006E29FA" w:rsidRPr="00F72A3D" w:rsidRDefault="006E29FA" w:rsidP="00E851E8">
      <w:pPr>
        <w:spacing w:after="176" w:line="252" w:lineRule="auto"/>
        <w:ind w:left="326" w:right="4"/>
        <w:jc w:val="both"/>
        <w:rPr>
          <w:b/>
          <w:i/>
          <w:sz w:val="24"/>
          <w:szCs w:val="24"/>
        </w:rPr>
      </w:pPr>
      <w:r w:rsidRPr="00F72A3D">
        <w:rPr>
          <w:b/>
          <w:i/>
          <w:sz w:val="24"/>
          <w:szCs w:val="24"/>
        </w:rPr>
        <w:t>A622122 Programsko financiranje javnih visokih učilišta</w:t>
      </w:r>
    </w:p>
    <w:p w14:paraId="26ED9806" w14:textId="77777777" w:rsidR="00260A87" w:rsidRDefault="00260A87" w:rsidP="006E29FA">
      <w:pPr>
        <w:spacing w:after="176" w:line="252" w:lineRule="auto"/>
        <w:ind w:left="326" w:right="4"/>
        <w:jc w:val="both"/>
        <w:rPr>
          <w:sz w:val="24"/>
          <w:szCs w:val="24"/>
        </w:rPr>
      </w:pPr>
    </w:p>
    <w:p w14:paraId="138E5F7E" w14:textId="0FCC2D2C" w:rsidR="006E29FA" w:rsidRPr="00F72A3D" w:rsidRDefault="006E29FA" w:rsidP="006E29FA">
      <w:pPr>
        <w:spacing w:after="176" w:line="252" w:lineRule="auto"/>
        <w:ind w:left="326" w:right="4"/>
        <w:jc w:val="both"/>
        <w:rPr>
          <w:sz w:val="24"/>
          <w:szCs w:val="24"/>
        </w:rPr>
      </w:pPr>
      <w:r w:rsidRPr="00F72A3D">
        <w:rPr>
          <w:sz w:val="24"/>
          <w:szCs w:val="24"/>
        </w:rPr>
        <w:t>Zakonske i druge pravne osnove</w:t>
      </w:r>
    </w:p>
    <w:p w14:paraId="57F217CC" w14:textId="77777777" w:rsidR="006E29FA" w:rsidRDefault="006E29FA" w:rsidP="006E29FA">
      <w:pPr>
        <w:spacing w:after="176" w:line="252" w:lineRule="auto"/>
        <w:ind w:left="326" w:right="4"/>
        <w:jc w:val="both"/>
        <w:rPr>
          <w:sz w:val="24"/>
          <w:szCs w:val="24"/>
        </w:rPr>
      </w:pPr>
      <w:r>
        <w:rPr>
          <w:sz w:val="24"/>
          <w:szCs w:val="24"/>
        </w:rPr>
        <w:t xml:space="preserve">- </w:t>
      </w:r>
      <w:r w:rsidRPr="002A0FB9">
        <w:rPr>
          <w:sz w:val="24"/>
          <w:szCs w:val="24"/>
        </w:rPr>
        <w:t>Zakon o znanstvenoj djelatnosti i visokom obrazovanju</w:t>
      </w:r>
    </w:p>
    <w:p w14:paraId="7D87E1B2" w14:textId="77777777" w:rsidR="006E29FA" w:rsidRDefault="006E29FA" w:rsidP="0018087A">
      <w:pPr>
        <w:spacing w:after="176" w:line="252" w:lineRule="auto"/>
        <w:ind w:left="326" w:right="4"/>
        <w:jc w:val="both"/>
        <w:rPr>
          <w:sz w:val="24"/>
          <w:szCs w:val="24"/>
        </w:rPr>
      </w:pPr>
      <w:r>
        <w:rPr>
          <w:sz w:val="24"/>
          <w:szCs w:val="24"/>
        </w:rPr>
        <w:t xml:space="preserve">- Kolektivni ugovor </w:t>
      </w:r>
      <w:r w:rsidR="0018087A">
        <w:rPr>
          <w:sz w:val="24"/>
          <w:szCs w:val="24"/>
        </w:rPr>
        <w:t>za znanost i visoko obrazovanje</w:t>
      </w:r>
    </w:p>
    <w:p w14:paraId="60EA5BC7" w14:textId="77777777" w:rsidR="006E29FA" w:rsidRDefault="006E29FA" w:rsidP="006E29FA">
      <w:pPr>
        <w:spacing w:after="176" w:line="252" w:lineRule="auto"/>
        <w:ind w:left="326" w:right="4"/>
        <w:jc w:val="both"/>
        <w:rPr>
          <w:sz w:val="24"/>
          <w:szCs w:val="24"/>
        </w:rPr>
      </w:pPr>
      <w:r>
        <w:rPr>
          <w:sz w:val="24"/>
          <w:szCs w:val="24"/>
        </w:rPr>
        <w:t>- Zakon o osiguranju kvalitete u znanosti i visokom obrazovanju</w:t>
      </w:r>
    </w:p>
    <w:p w14:paraId="19CFD3B6" w14:textId="4A89907C" w:rsidR="006E29FA" w:rsidRDefault="006E29FA" w:rsidP="006E29FA">
      <w:pPr>
        <w:spacing w:after="176" w:line="252" w:lineRule="auto"/>
        <w:ind w:left="326" w:right="4"/>
        <w:jc w:val="both"/>
        <w:rPr>
          <w:sz w:val="24"/>
          <w:szCs w:val="24"/>
        </w:rPr>
      </w:pPr>
      <w:r>
        <w:rPr>
          <w:sz w:val="24"/>
          <w:szCs w:val="24"/>
        </w:rPr>
        <w:t>- Upute za izradu prijedloga financijskog plana Sveučilišta u Zagrebu za razdoblje 2023.- 2025.</w:t>
      </w:r>
    </w:p>
    <w:p w14:paraId="1A78BF30" w14:textId="77777777" w:rsidR="008E278F" w:rsidRDefault="008E278F" w:rsidP="006E29FA">
      <w:pPr>
        <w:spacing w:after="176" w:line="252" w:lineRule="auto"/>
        <w:ind w:left="326" w:right="4"/>
        <w:jc w:val="both"/>
        <w:rPr>
          <w:sz w:val="24"/>
          <w:szCs w:val="24"/>
        </w:rPr>
      </w:pPr>
    </w:p>
    <w:tbl>
      <w:tblPr>
        <w:tblStyle w:val="TableGrid"/>
        <w:tblW w:w="0" w:type="auto"/>
        <w:tblInd w:w="326" w:type="dxa"/>
        <w:tblLook w:val="04A0" w:firstRow="1" w:lastRow="0" w:firstColumn="1" w:lastColumn="0" w:noHBand="0" w:noVBand="1"/>
      </w:tblPr>
      <w:tblGrid>
        <w:gridCol w:w="1751"/>
        <w:gridCol w:w="1651"/>
        <w:gridCol w:w="1651"/>
        <w:gridCol w:w="1651"/>
        <w:gridCol w:w="1651"/>
        <w:gridCol w:w="1507"/>
      </w:tblGrid>
      <w:tr w:rsidR="0033641B" w14:paraId="536C927E" w14:textId="77777777" w:rsidTr="004928A4">
        <w:tc>
          <w:tcPr>
            <w:tcW w:w="1751" w:type="dxa"/>
          </w:tcPr>
          <w:p w14:paraId="54F9AE9B" w14:textId="77777777" w:rsidR="0033641B" w:rsidRDefault="0033641B" w:rsidP="004928A4">
            <w:pPr>
              <w:spacing w:after="176" w:line="252" w:lineRule="auto"/>
              <w:ind w:right="4"/>
              <w:jc w:val="both"/>
              <w:rPr>
                <w:sz w:val="24"/>
                <w:szCs w:val="24"/>
              </w:rPr>
            </w:pPr>
          </w:p>
        </w:tc>
        <w:tc>
          <w:tcPr>
            <w:tcW w:w="1651" w:type="dxa"/>
          </w:tcPr>
          <w:p w14:paraId="09AC40B6" w14:textId="77777777" w:rsidR="0033641B" w:rsidRDefault="0033641B" w:rsidP="00C04B3C">
            <w:pPr>
              <w:spacing w:after="176" w:line="252" w:lineRule="auto"/>
              <w:ind w:right="4"/>
              <w:jc w:val="both"/>
              <w:rPr>
                <w:sz w:val="24"/>
                <w:szCs w:val="24"/>
              </w:rPr>
            </w:pPr>
            <w:r>
              <w:rPr>
                <w:sz w:val="24"/>
                <w:szCs w:val="24"/>
              </w:rPr>
              <w:t>Plan 2022.</w:t>
            </w:r>
          </w:p>
        </w:tc>
        <w:tc>
          <w:tcPr>
            <w:tcW w:w="1651" w:type="dxa"/>
          </w:tcPr>
          <w:p w14:paraId="303B35C6" w14:textId="77777777" w:rsidR="0033641B" w:rsidRDefault="0033641B" w:rsidP="004928A4">
            <w:pPr>
              <w:spacing w:after="176" w:line="252" w:lineRule="auto"/>
              <w:ind w:right="4"/>
              <w:jc w:val="both"/>
              <w:rPr>
                <w:sz w:val="24"/>
                <w:szCs w:val="24"/>
              </w:rPr>
            </w:pPr>
            <w:r>
              <w:rPr>
                <w:sz w:val="24"/>
                <w:szCs w:val="24"/>
              </w:rPr>
              <w:t>Plan 2023.</w:t>
            </w:r>
          </w:p>
        </w:tc>
        <w:tc>
          <w:tcPr>
            <w:tcW w:w="1651" w:type="dxa"/>
          </w:tcPr>
          <w:p w14:paraId="6A8AB47C" w14:textId="77777777" w:rsidR="0033641B" w:rsidRDefault="0033641B" w:rsidP="004928A4">
            <w:pPr>
              <w:spacing w:after="176" w:line="252" w:lineRule="auto"/>
              <w:ind w:right="4"/>
              <w:jc w:val="both"/>
              <w:rPr>
                <w:sz w:val="24"/>
                <w:szCs w:val="24"/>
              </w:rPr>
            </w:pPr>
            <w:r>
              <w:rPr>
                <w:sz w:val="24"/>
                <w:szCs w:val="24"/>
              </w:rPr>
              <w:t>Plan 2024.</w:t>
            </w:r>
          </w:p>
        </w:tc>
        <w:tc>
          <w:tcPr>
            <w:tcW w:w="1651" w:type="dxa"/>
          </w:tcPr>
          <w:p w14:paraId="663AE4CB" w14:textId="77777777" w:rsidR="0033641B" w:rsidRDefault="0033641B" w:rsidP="004928A4">
            <w:pPr>
              <w:spacing w:after="176" w:line="252" w:lineRule="auto"/>
              <w:ind w:right="4"/>
              <w:jc w:val="both"/>
              <w:rPr>
                <w:sz w:val="24"/>
                <w:szCs w:val="24"/>
              </w:rPr>
            </w:pPr>
            <w:r>
              <w:rPr>
                <w:sz w:val="24"/>
                <w:szCs w:val="24"/>
              </w:rPr>
              <w:t>Plan 2025.</w:t>
            </w:r>
          </w:p>
        </w:tc>
        <w:tc>
          <w:tcPr>
            <w:tcW w:w="1507" w:type="dxa"/>
          </w:tcPr>
          <w:p w14:paraId="7C682139" w14:textId="77777777" w:rsidR="0033641B" w:rsidRDefault="0033641B" w:rsidP="004928A4">
            <w:pPr>
              <w:spacing w:after="176" w:line="252" w:lineRule="auto"/>
              <w:ind w:right="4"/>
              <w:jc w:val="both"/>
              <w:rPr>
                <w:sz w:val="24"/>
                <w:szCs w:val="24"/>
              </w:rPr>
            </w:pPr>
            <w:r>
              <w:rPr>
                <w:sz w:val="24"/>
                <w:szCs w:val="24"/>
              </w:rPr>
              <w:t>Indeks</w:t>
            </w:r>
          </w:p>
          <w:p w14:paraId="41CF93F9" w14:textId="77777777" w:rsidR="0033641B" w:rsidRDefault="0033641B" w:rsidP="004928A4">
            <w:pPr>
              <w:spacing w:after="176" w:line="252" w:lineRule="auto"/>
              <w:ind w:right="4"/>
              <w:jc w:val="both"/>
              <w:rPr>
                <w:sz w:val="24"/>
                <w:szCs w:val="24"/>
              </w:rPr>
            </w:pPr>
            <w:r>
              <w:rPr>
                <w:sz w:val="24"/>
                <w:szCs w:val="24"/>
              </w:rPr>
              <w:t>2023./2022.</w:t>
            </w:r>
          </w:p>
        </w:tc>
      </w:tr>
      <w:tr w:rsidR="0033641B" w14:paraId="35A95B69" w14:textId="77777777" w:rsidTr="004928A4">
        <w:tc>
          <w:tcPr>
            <w:tcW w:w="1751" w:type="dxa"/>
          </w:tcPr>
          <w:p w14:paraId="073CE037" w14:textId="77777777" w:rsidR="0033641B" w:rsidRDefault="0033641B" w:rsidP="004928A4">
            <w:pPr>
              <w:spacing w:after="176" w:line="252" w:lineRule="auto"/>
              <w:ind w:right="4"/>
              <w:jc w:val="both"/>
              <w:rPr>
                <w:sz w:val="24"/>
                <w:szCs w:val="24"/>
              </w:rPr>
            </w:pPr>
            <w:r>
              <w:rPr>
                <w:sz w:val="24"/>
                <w:szCs w:val="24"/>
              </w:rPr>
              <w:t>A622122</w:t>
            </w:r>
          </w:p>
        </w:tc>
        <w:tc>
          <w:tcPr>
            <w:tcW w:w="1651" w:type="dxa"/>
          </w:tcPr>
          <w:p w14:paraId="45725BCC" w14:textId="3235E1BA" w:rsidR="0033641B" w:rsidRDefault="0033641B" w:rsidP="0033641B">
            <w:pPr>
              <w:spacing w:after="176" w:line="252" w:lineRule="auto"/>
              <w:ind w:right="4"/>
              <w:jc w:val="both"/>
              <w:rPr>
                <w:sz w:val="24"/>
                <w:szCs w:val="24"/>
              </w:rPr>
            </w:pPr>
            <w:r>
              <w:rPr>
                <w:sz w:val="24"/>
                <w:szCs w:val="24"/>
              </w:rPr>
              <w:t>1</w:t>
            </w:r>
            <w:r w:rsidR="0055619A">
              <w:rPr>
                <w:sz w:val="24"/>
                <w:szCs w:val="24"/>
              </w:rPr>
              <w:t>.616.318</w:t>
            </w:r>
          </w:p>
        </w:tc>
        <w:tc>
          <w:tcPr>
            <w:tcW w:w="1651" w:type="dxa"/>
          </w:tcPr>
          <w:p w14:paraId="4F387554" w14:textId="248BB947" w:rsidR="0033641B" w:rsidRDefault="009348F8" w:rsidP="004928A4">
            <w:pPr>
              <w:spacing w:after="176" w:line="252" w:lineRule="auto"/>
              <w:ind w:right="4"/>
              <w:jc w:val="both"/>
              <w:rPr>
                <w:sz w:val="24"/>
                <w:szCs w:val="24"/>
              </w:rPr>
            </w:pPr>
            <w:r>
              <w:rPr>
                <w:sz w:val="24"/>
                <w:szCs w:val="24"/>
              </w:rPr>
              <w:t>1.662.826</w:t>
            </w:r>
          </w:p>
        </w:tc>
        <w:tc>
          <w:tcPr>
            <w:tcW w:w="1651" w:type="dxa"/>
          </w:tcPr>
          <w:p w14:paraId="43F9F7A6" w14:textId="7ECCE260" w:rsidR="0033641B" w:rsidRDefault="009348F8" w:rsidP="004928A4">
            <w:pPr>
              <w:spacing w:after="176" w:line="252" w:lineRule="auto"/>
              <w:ind w:right="4"/>
              <w:jc w:val="both"/>
              <w:rPr>
                <w:sz w:val="24"/>
                <w:szCs w:val="24"/>
              </w:rPr>
            </w:pPr>
            <w:r>
              <w:rPr>
                <w:sz w:val="24"/>
                <w:szCs w:val="24"/>
              </w:rPr>
              <w:t>1.662.826</w:t>
            </w:r>
          </w:p>
        </w:tc>
        <w:tc>
          <w:tcPr>
            <w:tcW w:w="1651" w:type="dxa"/>
          </w:tcPr>
          <w:p w14:paraId="679E76DD" w14:textId="151569AC" w:rsidR="0033641B" w:rsidRDefault="009348F8" w:rsidP="0033641B">
            <w:pPr>
              <w:spacing w:after="176" w:line="252" w:lineRule="auto"/>
              <w:ind w:right="4"/>
              <w:jc w:val="both"/>
              <w:rPr>
                <w:sz w:val="24"/>
                <w:szCs w:val="24"/>
              </w:rPr>
            </w:pPr>
            <w:r>
              <w:rPr>
                <w:sz w:val="24"/>
                <w:szCs w:val="24"/>
              </w:rPr>
              <w:t>1.662.826</w:t>
            </w:r>
          </w:p>
        </w:tc>
        <w:tc>
          <w:tcPr>
            <w:tcW w:w="1507" w:type="dxa"/>
          </w:tcPr>
          <w:p w14:paraId="4542FB24" w14:textId="6539E14B" w:rsidR="0033641B" w:rsidRDefault="0033641B" w:rsidP="0033641B">
            <w:pPr>
              <w:spacing w:after="176" w:line="252" w:lineRule="auto"/>
              <w:ind w:right="4"/>
              <w:jc w:val="both"/>
              <w:rPr>
                <w:sz w:val="24"/>
                <w:szCs w:val="24"/>
              </w:rPr>
            </w:pPr>
            <w:r>
              <w:rPr>
                <w:sz w:val="24"/>
                <w:szCs w:val="24"/>
              </w:rPr>
              <w:t>1</w:t>
            </w:r>
            <w:r w:rsidR="009348F8">
              <w:rPr>
                <w:sz w:val="24"/>
                <w:szCs w:val="24"/>
              </w:rPr>
              <w:t>02,88</w:t>
            </w:r>
          </w:p>
        </w:tc>
      </w:tr>
    </w:tbl>
    <w:p w14:paraId="3D24A1FD" w14:textId="77777777" w:rsidR="0033641B" w:rsidRDefault="0033641B" w:rsidP="006E29FA">
      <w:pPr>
        <w:spacing w:after="176" w:line="252" w:lineRule="auto"/>
        <w:ind w:left="326" w:right="4"/>
        <w:jc w:val="both"/>
        <w:rPr>
          <w:sz w:val="24"/>
          <w:szCs w:val="24"/>
        </w:rPr>
      </w:pPr>
    </w:p>
    <w:p w14:paraId="41672E64" w14:textId="7A09AAD5" w:rsidR="005A2E9C" w:rsidRPr="00812408" w:rsidRDefault="00472B02" w:rsidP="00673C7F">
      <w:pPr>
        <w:spacing w:after="176" w:line="252" w:lineRule="auto"/>
        <w:ind w:right="4"/>
        <w:jc w:val="both"/>
        <w:rPr>
          <w:rFonts w:ascii="Times New Roman" w:hAnsi="Times New Roman"/>
          <w:sz w:val="24"/>
          <w:szCs w:val="24"/>
        </w:rPr>
      </w:pPr>
      <w:r w:rsidRPr="00812408">
        <w:rPr>
          <w:rFonts w:ascii="Times New Roman" w:hAnsi="Times New Roman"/>
          <w:sz w:val="24"/>
          <w:szCs w:val="24"/>
        </w:rPr>
        <w:t>A</w:t>
      </w:r>
      <w:r w:rsidR="0033641B" w:rsidRPr="00812408">
        <w:rPr>
          <w:rFonts w:ascii="Times New Roman" w:hAnsi="Times New Roman"/>
          <w:sz w:val="24"/>
          <w:szCs w:val="24"/>
        </w:rPr>
        <w:t>ktivnost provodi se svake godine iz izvora financiranja 11 Opći prihodi i primici. Aktivnost se odnos</w:t>
      </w:r>
      <w:r w:rsidR="009D5BEC" w:rsidRPr="00812408">
        <w:rPr>
          <w:rFonts w:ascii="Times New Roman" w:hAnsi="Times New Roman"/>
          <w:sz w:val="24"/>
          <w:szCs w:val="24"/>
        </w:rPr>
        <w:t>i</w:t>
      </w:r>
      <w:r w:rsidR="0033641B" w:rsidRPr="00812408">
        <w:rPr>
          <w:rFonts w:ascii="Times New Roman" w:hAnsi="Times New Roman"/>
          <w:sz w:val="24"/>
          <w:szCs w:val="24"/>
        </w:rPr>
        <w:t xml:space="preserve"> na</w:t>
      </w:r>
      <w:r w:rsidR="003C477C" w:rsidRPr="00812408">
        <w:rPr>
          <w:rFonts w:ascii="Times New Roman" w:hAnsi="Times New Roman"/>
          <w:sz w:val="24"/>
          <w:szCs w:val="24"/>
        </w:rPr>
        <w:t xml:space="preserve"> pokrivanje materijalnih troškova </w:t>
      </w:r>
      <w:r w:rsidR="009D5BEC" w:rsidRPr="00812408">
        <w:rPr>
          <w:rFonts w:ascii="Times New Roman" w:hAnsi="Times New Roman"/>
          <w:sz w:val="24"/>
          <w:szCs w:val="24"/>
        </w:rPr>
        <w:t>F</w:t>
      </w:r>
      <w:r w:rsidR="003C477C" w:rsidRPr="00812408">
        <w:rPr>
          <w:rFonts w:ascii="Times New Roman" w:hAnsi="Times New Roman"/>
          <w:sz w:val="24"/>
          <w:szCs w:val="24"/>
        </w:rPr>
        <w:t xml:space="preserve">akulteta i troška nabave znanstvene opreme. Sredstva su planirana na temelju zadanih </w:t>
      </w:r>
      <w:r w:rsidR="002A0B90" w:rsidRPr="00812408">
        <w:rPr>
          <w:rFonts w:ascii="Times New Roman" w:hAnsi="Times New Roman"/>
          <w:sz w:val="24"/>
          <w:szCs w:val="24"/>
        </w:rPr>
        <w:t>ograničenja</w:t>
      </w:r>
      <w:r w:rsidR="003C477C" w:rsidRPr="00812408">
        <w:rPr>
          <w:rFonts w:ascii="Times New Roman" w:hAnsi="Times New Roman"/>
          <w:sz w:val="24"/>
          <w:szCs w:val="24"/>
        </w:rPr>
        <w:t xml:space="preserve"> Sveučilišta u Zagrebu. </w:t>
      </w:r>
    </w:p>
    <w:p w14:paraId="2E6B971C" w14:textId="5424D3BA" w:rsidR="0018087A" w:rsidRDefault="0018087A" w:rsidP="00E851E8">
      <w:pPr>
        <w:spacing w:after="176" w:line="252" w:lineRule="auto"/>
        <w:ind w:left="326" w:right="4"/>
        <w:jc w:val="both"/>
        <w:rPr>
          <w:sz w:val="24"/>
          <w:szCs w:val="24"/>
        </w:rPr>
      </w:pPr>
    </w:p>
    <w:p w14:paraId="23DB685B" w14:textId="77777777" w:rsidR="005675DA" w:rsidRDefault="005675DA" w:rsidP="00E851E8">
      <w:pPr>
        <w:spacing w:after="176" w:line="252" w:lineRule="auto"/>
        <w:ind w:left="326" w:right="4"/>
        <w:jc w:val="both"/>
        <w:rPr>
          <w:sz w:val="24"/>
          <w:szCs w:val="24"/>
        </w:rPr>
      </w:pPr>
    </w:p>
    <w:p w14:paraId="634E1983" w14:textId="4AFF850B" w:rsidR="00393509" w:rsidRDefault="00812408" w:rsidP="00563497">
      <w:pPr>
        <w:spacing w:after="176" w:line="252" w:lineRule="auto"/>
        <w:ind w:left="326" w:right="4"/>
        <w:jc w:val="both"/>
        <w:rPr>
          <w:b/>
          <w:bCs/>
          <w:i/>
          <w:iCs/>
          <w:sz w:val="24"/>
          <w:szCs w:val="24"/>
        </w:rPr>
      </w:pPr>
      <w:r w:rsidRPr="00393509">
        <w:rPr>
          <w:b/>
          <w:bCs/>
          <w:i/>
          <w:iCs/>
          <w:sz w:val="24"/>
          <w:szCs w:val="24"/>
        </w:rPr>
        <w:t>A</w:t>
      </w:r>
      <w:r w:rsidR="00393509" w:rsidRPr="00393509">
        <w:rPr>
          <w:b/>
          <w:bCs/>
          <w:i/>
          <w:iCs/>
          <w:sz w:val="24"/>
          <w:szCs w:val="24"/>
        </w:rPr>
        <w:t>621038 Programi vježbaonica visokih učilišta</w:t>
      </w:r>
    </w:p>
    <w:p w14:paraId="479FE404" w14:textId="77777777" w:rsidR="00485889" w:rsidRDefault="00485889" w:rsidP="00563497">
      <w:pPr>
        <w:spacing w:after="176" w:line="252" w:lineRule="auto"/>
        <w:ind w:left="326" w:right="4"/>
        <w:jc w:val="both"/>
        <w:rPr>
          <w:b/>
          <w:bCs/>
          <w:i/>
          <w:iCs/>
          <w:sz w:val="24"/>
          <w:szCs w:val="24"/>
        </w:rPr>
      </w:pPr>
    </w:p>
    <w:tbl>
      <w:tblPr>
        <w:tblStyle w:val="TableGrid"/>
        <w:tblW w:w="0" w:type="auto"/>
        <w:tblInd w:w="326" w:type="dxa"/>
        <w:tblLook w:val="04A0" w:firstRow="1" w:lastRow="0" w:firstColumn="1" w:lastColumn="0" w:noHBand="0" w:noVBand="1"/>
      </w:tblPr>
      <w:tblGrid>
        <w:gridCol w:w="1751"/>
        <w:gridCol w:w="1651"/>
        <w:gridCol w:w="1651"/>
        <w:gridCol w:w="1651"/>
        <w:gridCol w:w="1651"/>
        <w:gridCol w:w="1507"/>
      </w:tblGrid>
      <w:tr w:rsidR="00563497" w14:paraId="28397124" w14:textId="77777777" w:rsidTr="00BE1442">
        <w:tc>
          <w:tcPr>
            <w:tcW w:w="1751" w:type="dxa"/>
          </w:tcPr>
          <w:p w14:paraId="43E4A37A" w14:textId="77777777" w:rsidR="00563497" w:rsidRDefault="00563497" w:rsidP="00BE1442">
            <w:pPr>
              <w:spacing w:after="176" w:line="252" w:lineRule="auto"/>
              <w:ind w:right="4"/>
              <w:jc w:val="both"/>
              <w:rPr>
                <w:sz w:val="24"/>
                <w:szCs w:val="24"/>
              </w:rPr>
            </w:pPr>
          </w:p>
        </w:tc>
        <w:tc>
          <w:tcPr>
            <w:tcW w:w="1651" w:type="dxa"/>
          </w:tcPr>
          <w:p w14:paraId="35604B86" w14:textId="77777777" w:rsidR="00563497" w:rsidRDefault="00563497" w:rsidP="00BE1442">
            <w:pPr>
              <w:spacing w:after="176" w:line="252" w:lineRule="auto"/>
              <w:ind w:right="4"/>
              <w:jc w:val="both"/>
              <w:rPr>
                <w:sz w:val="24"/>
                <w:szCs w:val="24"/>
              </w:rPr>
            </w:pPr>
            <w:r>
              <w:rPr>
                <w:sz w:val="24"/>
                <w:szCs w:val="24"/>
              </w:rPr>
              <w:t>Plan 2022.</w:t>
            </w:r>
          </w:p>
        </w:tc>
        <w:tc>
          <w:tcPr>
            <w:tcW w:w="1651" w:type="dxa"/>
          </w:tcPr>
          <w:p w14:paraId="4A3E231A" w14:textId="77777777" w:rsidR="00563497" w:rsidRDefault="00563497" w:rsidP="00BE1442">
            <w:pPr>
              <w:spacing w:after="176" w:line="252" w:lineRule="auto"/>
              <w:ind w:right="4"/>
              <w:jc w:val="both"/>
              <w:rPr>
                <w:sz w:val="24"/>
                <w:szCs w:val="24"/>
              </w:rPr>
            </w:pPr>
            <w:r>
              <w:rPr>
                <w:sz w:val="24"/>
                <w:szCs w:val="24"/>
              </w:rPr>
              <w:t>Plan 2023.</w:t>
            </w:r>
          </w:p>
        </w:tc>
        <w:tc>
          <w:tcPr>
            <w:tcW w:w="1651" w:type="dxa"/>
          </w:tcPr>
          <w:p w14:paraId="4CD58AF7" w14:textId="77777777" w:rsidR="00563497" w:rsidRDefault="00563497" w:rsidP="00BE1442">
            <w:pPr>
              <w:spacing w:after="176" w:line="252" w:lineRule="auto"/>
              <w:ind w:right="4"/>
              <w:jc w:val="both"/>
              <w:rPr>
                <w:sz w:val="24"/>
                <w:szCs w:val="24"/>
              </w:rPr>
            </w:pPr>
            <w:r>
              <w:rPr>
                <w:sz w:val="24"/>
                <w:szCs w:val="24"/>
              </w:rPr>
              <w:t>Plan 2024.</w:t>
            </w:r>
          </w:p>
        </w:tc>
        <w:tc>
          <w:tcPr>
            <w:tcW w:w="1651" w:type="dxa"/>
          </w:tcPr>
          <w:p w14:paraId="3740FC80" w14:textId="77777777" w:rsidR="00563497" w:rsidRDefault="00563497" w:rsidP="00BE1442">
            <w:pPr>
              <w:spacing w:after="176" w:line="252" w:lineRule="auto"/>
              <w:ind w:right="4"/>
              <w:jc w:val="both"/>
              <w:rPr>
                <w:sz w:val="24"/>
                <w:szCs w:val="24"/>
              </w:rPr>
            </w:pPr>
            <w:r>
              <w:rPr>
                <w:sz w:val="24"/>
                <w:szCs w:val="24"/>
              </w:rPr>
              <w:t>Plan 2025.</w:t>
            </w:r>
          </w:p>
        </w:tc>
        <w:tc>
          <w:tcPr>
            <w:tcW w:w="1507" w:type="dxa"/>
          </w:tcPr>
          <w:p w14:paraId="53237B03" w14:textId="77777777" w:rsidR="00563497" w:rsidRDefault="00563497" w:rsidP="00BE1442">
            <w:pPr>
              <w:spacing w:after="176" w:line="252" w:lineRule="auto"/>
              <w:ind w:right="4"/>
              <w:jc w:val="both"/>
              <w:rPr>
                <w:sz w:val="24"/>
                <w:szCs w:val="24"/>
              </w:rPr>
            </w:pPr>
            <w:r>
              <w:rPr>
                <w:sz w:val="24"/>
                <w:szCs w:val="24"/>
              </w:rPr>
              <w:t>Indeks</w:t>
            </w:r>
          </w:p>
          <w:p w14:paraId="13330AFE" w14:textId="77777777" w:rsidR="00563497" w:rsidRDefault="00563497" w:rsidP="00BE1442">
            <w:pPr>
              <w:spacing w:after="176" w:line="252" w:lineRule="auto"/>
              <w:ind w:right="4"/>
              <w:jc w:val="both"/>
              <w:rPr>
                <w:sz w:val="24"/>
                <w:szCs w:val="24"/>
              </w:rPr>
            </w:pPr>
            <w:r>
              <w:rPr>
                <w:sz w:val="24"/>
                <w:szCs w:val="24"/>
              </w:rPr>
              <w:t>2023./2022.</w:t>
            </w:r>
          </w:p>
        </w:tc>
      </w:tr>
      <w:tr w:rsidR="00563497" w14:paraId="0E5A7279" w14:textId="77777777" w:rsidTr="00BE1442">
        <w:tc>
          <w:tcPr>
            <w:tcW w:w="1751" w:type="dxa"/>
          </w:tcPr>
          <w:p w14:paraId="3EB634C4" w14:textId="17AD2DE0" w:rsidR="00563497" w:rsidRDefault="00563497" w:rsidP="00BE1442">
            <w:pPr>
              <w:spacing w:after="176" w:line="252" w:lineRule="auto"/>
              <w:ind w:right="4"/>
              <w:jc w:val="both"/>
              <w:rPr>
                <w:sz w:val="24"/>
                <w:szCs w:val="24"/>
              </w:rPr>
            </w:pPr>
            <w:r>
              <w:rPr>
                <w:sz w:val="24"/>
                <w:szCs w:val="24"/>
              </w:rPr>
              <w:t>A</w:t>
            </w:r>
            <w:r w:rsidR="005675DA">
              <w:rPr>
                <w:sz w:val="24"/>
                <w:szCs w:val="24"/>
              </w:rPr>
              <w:t>621038</w:t>
            </w:r>
          </w:p>
        </w:tc>
        <w:tc>
          <w:tcPr>
            <w:tcW w:w="1651" w:type="dxa"/>
          </w:tcPr>
          <w:p w14:paraId="6F131001" w14:textId="64D4BF5F" w:rsidR="00563497" w:rsidRDefault="00EF4BE3" w:rsidP="00BE1442">
            <w:pPr>
              <w:spacing w:after="176" w:line="252" w:lineRule="auto"/>
              <w:ind w:right="4"/>
              <w:jc w:val="both"/>
              <w:rPr>
                <w:sz w:val="24"/>
                <w:szCs w:val="24"/>
              </w:rPr>
            </w:pPr>
            <w:r>
              <w:rPr>
                <w:sz w:val="24"/>
                <w:szCs w:val="24"/>
              </w:rPr>
              <w:t>78.635</w:t>
            </w:r>
          </w:p>
        </w:tc>
        <w:tc>
          <w:tcPr>
            <w:tcW w:w="1651" w:type="dxa"/>
          </w:tcPr>
          <w:p w14:paraId="4959D72C" w14:textId="2F7A77C1" w:rsidR="00563497" w:rsidRDefault="0006129B" w:rsidP="00BE1442">
            <w:pPr>
              <w:spacing w:after="176" w:line="252" w:lineRule="auto"/>
              <w:ind w:right="4"/>
              <w:jc w:val="both"/>
              <w:rPr>
                <w:sz w:val="24"/>
                <w:szCs w:val="24"/>
              </w:rPr>
            </w:pPr>
            <w:r>
              <w:rPr>
                <w:sz w:val="24"/>
                <w:szCs w:val="24"/>
              </w:rPr>
              <w:t>91.949</w:t>
            </w:r>
          </w:p>
        </w:tc>
        <w:tc>
          <w:tcPr>
            <w:tcW w:w="1651" w:type="dxa"/>
          </w:tcPr>
          <w:p w14:paraId="16A0808A" w14:textId="52FADECD" w:rsidR="00563497" w:rsidRDefault="0006129B" w:rsidP="00BE1442">
            <w:pPr>
              <w:spacing w:after="176" w:line="252" w:lineRule="auto"/>
              <w:ind w:right="4"/>
              <w:jc w:val="both"/>
              <w:rPr>
                <w:sz w:val="24"/>
                <w:szCs w:val="24"/>
              </w:rPr>
            </w:pPr>
            <w:r>
              <w:rPr>
                <w:sz w:val="24"/>
                <w:szCs w:val="24"/>
              </w:rPr>
              <w:t>91.949</w:t>
            </w:r>
          </w:p>
        </w:tc>
        <w:tc>
          <w:tcPr>
            <w:tcW w:w="1651" w:type="dxa"/>
          </w:tcPr>
          <w:p w14:paraId="266FE189" w14:textId="4FF9905A" w:rsidR="00563497" w:rsidRDefault="0006129B" w:rsidP="00BE1442">
            <w:pPr>
              <w:spacing w:after="176" w:line="252" w:lineRule="auto"/>
              <w:ind w:right="4"/>
              <w:jc w:val="both"/>
              <w:rPr>
                <w:sz w:val="24"/>
                <w:szCs w:val="24"/>
              </w:rPr>
            </w:pPr>
            <w:r>
              <w:rPr>
                <w:sz w:val="24"/>
                <w:szCs w:val="24"/>
              </w:rPr>
              <w:t>91.949</w:t>
            </w:r>
          </w:p>
        </w:tc>
        <w:tc>
          <w:tcPr>
            <w:tcW w:w="1507" w:type="dxa"/>
          </w:tcPr>
          <w:p w14:paraId="2D2C0F79" w14:textId="6B6DDACF" w:rsidR="00563497" w:rsidRDefault="0039626F" w:rsidP="00BE1442">
            <w:pPr>
              <w:spacing w:after="176" w:line="252" w:lineRule="auto"/>
              <w:ind w:right="4"/>
              <w:jc w:val="both"/>
              <w:rPr>
                <w:sz w:val="24"/>
                <w:szCs w:val="24"/>
              </w:rPr>
            </w:pPr>
            <w:r>
              <w:rPr>
                <w:sz w:val="24"/>
                <w:szCs w:val="24"/>
              </w:rPr>
              <w:t>116,93</w:t>
            </w:r>
          </w:p>
        </w:tc>
      </w:tr>
    </w:tbl>
    <w:p w14:paraId="3EE63372" w14:textId="69C59D53" w:rsidR="00563497" w:rsidRDefault="00563497" w:rsidP="005675DA">
      <w:pPr>
        <w:spacing w:after="176" w:line="252" w:lineRule="auto"/>
        <w:ind w:right="4"/>
        <w:jc w:val="both"/>
        <w:rPr>
          <w:sz w:val="24"/>
          <w:szCs w:val="24"/>
        </w:rPr>
      </w:pPr>
    </w:p>
    <w:p w14:paraId="1F44632A" w14:textId="70852287" w:rsidR="0039626F" w:rsidRPr="0039626F" w:rsidRDefault="0039626F" w:rsidP="0039626F">
      <w:pPr>
        <w:spacing w:after="176" w:line="252" w:lineRule="auto"/>
        <w:ind w:right="4"/>
        <w:jc w:val="both"/>
        <w:rPr>
          <w:rFonts w:ascii="Times New Roman" w:hAnsi="Times New Roman"/>
          <w:sz w:val="24"/>
          <w:szCs w:val="24"/>
        </w:rPr>
      </w:pPr>
      <w:r>
        <w:rPr>
          <w:sz w:val="24"/>
          <w:szCs w:val="24"/>
        </w:rPr>
        <w:t xml:space="preserve">Pod aktivnost </w:t>
      </w:r>
      <w:r w:rsidRPr="0039626F">
        <w:rPr>
          <w:rFonts w:ascii="Times New Roman" w:hAnsi="Times New Roman"/>
          <w:sz w:val="24"/>
          <w:szCs w:val="24"/>
        </w:rPr>
        <w:t>Programi vježbaonica visokih učilišta</w:t>
      </w:r>
      <w:r w:rsidR="00F96FD4">
        <w:rPr>
          <w:rFonts w:ascii="Times New Roman" w:hAnsi="Times New Roman"/>
          <w:sz w:val="24"/>
          <w:szCs w:val="24"/>
        </w:rPr>
        <w:t xml:space="preserve"> planirana je mentorska nastava za dio naših studenata. </w:t>
      </w:r>
    </w:p>
    <w:p w14:paraId="5D3166C5" w14:textId="1D9CF523" w:rsidR="005675DA" w:rsidRDefault="005675DA" w:rsidP="005675DA">
      <w:pPr>
        <w:spacing w:after="176" w:line="252" w:lineRule="auto"/>
        <w:ind w:right="4"/>
        <w:jc w:val="both"/>
        <w:rPr>
          <w:sz w:val="24"/>
          <w:szCs w:val="24"/>
        </w:rPr>
      </w:pPr>
    </w:p>
    <w:p w14:paraId="15CC0C5F" w14:textId="77777777" w:rsidR="00563497" w:rsidRPr="00563497" w:rsidRDefault="00563497" w:rsidP="00563497">
      <w:pPr>
        <w:spacing w:after="176" w:line="252" w:lineRule="auto"/>
        <w:ind w:right="4"/>
        <w:jc w:val="both"/>
        <w:rPr>
          <w:rFonts w:ascii="Times New Roman" w:hAnsi="Times New Roman"/>
          <w:sz w:val="24"/>
          <w:szCs w:val="24"/>
        </w:rPr>
      </w:pPr>
    </w:p>
    <w:p w14:paraId="7090CC69" w14:textId="153FDAE9" w:rsidR="0018087A" w:rsidRPr="00F72A3D" w:rsidRDefault="0018087A" w:rsidP="00E851E8">
      <w:pPr>
        <w:spacing w:after="176" w:line="252" w:lineRule="auto"/>
        <w:ind w:left="326" w:right="4"/>
        <w:jc w:val="both"/>
        <w:rPr>
          <w:b/>
          <w:i/>
          <w:sz w:val="24"/>
          <w:szCs w:val="24"/>
        </w:rPr>
      </w:pPr>
      <w:r w:rsidRPr="00F72A3D">
        <w:rPr>
          <w:b/>
          <w:i/>
          <w:sz w:val="24"/>
          <w:szCs w:val="24"/>
        </w:rPr>
        <w:t xml:space="preserve">A679088 Redovna djelatnost Sveučilišta u Zagrebu </w:t>
      </w:r>
      <w:r w:rsidR="00C12648">
        <w:rPr>
          <w:b/>
          <w:i/>
          <w:sz w:val="24"/>
          <w:szCs w:val="24"/>
        </w:rPr>
        <w:t>Filozofski fakultet</w:t>
      </w:r>
      <w:r w:rsidRPr="00F72A3D">
        <w:rPr>
          <w:b/>
          <w:i/>
          <w:sz w:val="24"/>
          <w:szCs w:val="24"/>
        </w:rPr>
        <w:t xml:space="preserve"> (iz EV prihoda)</w:t>
      </w:r>
    </w:p>
    <w:p w14:paraId="54BBD5A9" w14:textId="77777777" w:rsidR="00D838E1" w:rsidRDefault="00D838E1" w:rsidP="00334975">
      <w:pPr>
        <w:spacing w:after="176" w:line="252" w:lineRule="auto"/>
        <w:ind w:left="326" w:right="4"/>
        <w:jc w:val="both"/>
        <w:rPr>
          <w:sz w:val="24"/>
          <w:szCs w:val="24"/>
        </w:rPr>
      </w:pPr>
    </w:p>
    <w:p w14:paraId="7DFEBDAB" w14:textId="5E82A333"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Zakonske i druge pravne osnove</w:t>
      </w:r>
    </w:p>
    <w:p w14:paraId="30BF4E1F" w14:textId="77777777"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Zakon o znanstvenoj djelatnosti i visokom obrazovanju</w:t>
      </w:r>
    </w:p>
    <w:p w14:paraId="3624BEA0" w14:textId="77777777"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Temeljni kolektivni ugovor za službenike i namještenike u javnim službama</w:t>
      </w:r>
    </w:p>
    <w:p w14:paraId="3AB1BEEA" w14:textId="77777777"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Kolektivni ugovor za znanost i visoko obrazovanje</w:t>
      </w:r>
    </w:p>
    <w:p w14:paraId="4FF5F917" w14:textId="77777777"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Zakon o ustanovama</w:t>
      </w:r>
    </w:p>
    <w:p w14:paraId="2A61B848" w14:textId="696E3557" w:rsidR="00334975" w:rsidRPr="0071047E" w:rsidRDefault="00334975"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xml:space="preserve">- Pravilnik o </w:t>
      </w:r>
      <w:r w:rsidR="002B38EB" w:rsidRPr="0071047E">
        <w:rPr>
          <w:rFonts w:ascii="Times New Roman" w:hAnsi="Times New Roman"/>
          <w:sz w:val="24"/>
          <w:szCs w:val="24"/>
        </w:rPr>
        <w:t>stjecanju</w:t>
      </w:r>
      <w:r w:rsidRPr="0071047E">
        <w:rPr>
          <w:rFonts w:ascii="Times New Roman" w:hAnsi="Times New Roman"/>
          <w:sz w:val="24"/>
          <w:szCs w:val="24"/>
        </w:rPr>
        <w:t xml:space="preserve"> i načinu korištenja vlastitih prihoda</w:t>
      </w:r>
    </w:p>
    <w:p w14:paraId="440145F0" w14:textId="028B4DB8" w:rsidR="00216BBE" w:rsidRPr="0071047E" w:rsidRDefault="00216BBE" w:rsidP="00334975">
      <w:pPr>
        <w:spacing w:after="176" w:line="252" w:lineRule="auto"/>
        <w:ind w:left="326" w:right="4"/>
        <w:jc w:val="both"/>
        <w:rPr>
          <w:rFonts w:ascii="Times New Roman" w:hAnsi="Times New Roman"/>
          <w:sz w:val="24"/>
          <w:szCs w:val="24"/>
        </w:rPr>
      </w:pPr>
      <w:r w:rsidRPr="0071047E">
        <w:rPr>
          <w:rFonts w:ascii="Times New Roman" w:hAnsi="Times New Roman"/>
          <w:sz w:val="24"/>
          <w:szCs w:val="24"/>
        </w:rPr>
        <w:t xml:space="preserve">- </w:t>
      </w:r>
      <w:r w:rsidR="0071047E" w:rsidRPr="0071047E">
        <w:rPr>
          <w:rFonts w:ascii="Times New Roman" w:hAnsi="Times New Roman"/>
          <w:sz w:val="24"/>
          <w:szCs w:val="24"/>
        </w:rPr>
        <w:t>Pravilnik o izdavačkoj djelatnosti Filozofskog fakulteta u Zagrebu</w:t>
      </w:r>
    </w:p>
    <w:p w14:paraId="3531386D" w14:textId="5BD17DD5" w:rsidR="0071047E" w:rsidRDefault="0071047E" w:rsidP="00334975">
      <w:pPr>
        <w:spacing w:after="176" w:line="252" w:lineRule="auto"/>
        <w:ind w:left="326" w:right="4"/>
        <w:jc w:val="both"/>
        <w:rPr>
          <w:sz w:val="24"/>
          <w:szCs w:val="24"/>
        </w:rPr>
      </w:pPr>
      <w:r w:rsidRPr="0071047E">
        <w:rPr>
          <w:rFonts w:ascii="Times New Roman" w:hAnsi="Times New Roman"/>
          <w:sz w:val="24"/>
          <w:szCs w:val="24"/>
        </w:rPr>
        <w:t>- Pravilnik o osnovama financiranja Sveučilišta u Zagrebu</w:t>
      </w:r>
    </w:p>
    <w:p w14:paraId="565A8482" w14:textId="77777777" w:rsidR="004856C8" w:rsidRDefault="004856C8" w:rsidP="004856C8">
      <w:pPr>
        <w:spacing w:after="176" w:line="252" w:lineRule="auto"/>
        <w:ind w:right="4"/>
        <w:jc w:val="both"/>
        <w:rPr>
          <w:sz w:val="24"/>
          <w:szCs w:val="24"/>
        </w:rPr>
      </w:pPr>
    </w:p>
    <w:p w14:paraId="01E75C3B" w14:textId="1D386DA2" w:rsidR="00C15D7B" w:rsidRDefault="00C15D7B" w:rsidP="004856C8">
      <w:pPr>
        <w:spacing w:after="176" w:line="252" w:lineRule="auto"/>
        <w:ind w:right="4"/>
        <w:jc w:val="both"/>
        <w:rPr>
          <w:rFonts w:ascii="Times New Roman" w:hAnsi="Times New Roman"/>
          <w:sz w:val="24"/>
          <w:szCs w:val="24"/>
        </w:rPr>
      </w:pPr>
      <w:r w:rsidRPr="00A6489C">
        <w:rPr>
          <w:rFonts w:ascii="Times New Roman" w:hAnsi="Times New Roman"/>
          <w:sz w:val="24"/>
          <w:szCs w:val="24"/>
        </w:rPr>
        <w:lastRenderedPageBreak/>
        <w:t xml:space="preserve">Ova aktivnost </w:t>
      </w:r>
      <w:r w:rsidR="00B55908">
        <w:rPr>
          <w:rFonts w:ascii="Times New Roman" w:hAnsi="Times New Roman"/>
          <w:sz w:val="24"/>
          <w:szCs w:val="24"/>
        </w:rPr>
        <w:t>financira</w:t>
      </w:r>
      <w:r w:rsidRPr="00A6489C">
        <w:rPr>
          <w:rFonts w:ascii="Times New Roman" w:hAnsi="Times New Roman"/>
          <w:sz w:val="24"/>
          <w:szCs w:val="24"/>
        </w:rPr>
        <w:t xml:space="preserve"> se iz slijedećih izvora:</w:t>
      </w:r>
    </w:p>
    <w:p w14:paraId="18D2ADC8" w14:textId="77777777" w:rsidR="004D35E2" w:rsidRPr="00A6489C" w:rsidRDefault="004D35E2" w:rsidP="004856C8">
      <w:pPr>
        <w:spacing w:after="176" w:line="252" w:lineRule="auto"/>
        <w:ind w:right="4"/>
        <w:jc w:val="both"/>
        <w:rPr>
          <w:rFonts w:ascii="Times New Roman" w:hAnsi="Times New Roman"/>
          <w:sz w:val="24"/>
          <w:szCs w:val="24"/>
        </w:rPr>
      </w:pPr>
    </w:p>
    <w:p w14:paraId="105CDD29" w14:textId="6E63ECE9" w:rsidR="00A6489C" w:rsidRPr="002F1C3E" w:rsidRDefault="00C15D7B" w:rsidP="00A6489C">
      <w:pPr>
        <w:spacing w:after="176" w:line="252" w:lineRule="auto"/>
        <w:ind w:right="4"/>
        <w:jc w:val="both"/>
        <w:rPr>
          <w:rFonts w:ascii="Times New Roman" w:hAnsi="Times New Roman"/>
          <w:sz w:val="24"/>
          <w:szCs w:val="24"/>
        </w:rPr>
      </w:pPr>
      <w:r w:rsidRPr="002F1C3E">
        <w:rPr>
          <w:rFonts w:ascii="Times New Roman" w:hAnsi="Times New Roman"/>
          <w:sz w:val="24"/>
          <w:szCs w:val="24"/>
        </w:rPr>
        <w:t xml:space="preserve">31 Vlastiti prihodi </w:t>
      </w:r>
    </w:p>
    <w:p w14:paraId="23C9EE25" w14:textId="5B6DF0C3" w:rsidR="00C15D7B" w:rsidRPr="002F1C3E" w:rsidRDefault="002804BF" w:rsidP="00A6489C">
      <w:pPr>
        <w:spacing w:after="176" w:line="252" w:lineRule="auto"/>
        <w:ind w:right="4"/>
        <w:jc w:val="both"/>
        <w:rPr>
          <w:rFonts w:ascii="Times New Roman" w:hAnsi="Times New Roman"/>
          <w:sz w:val="24"/>
          <w:szCs w:val="24"/>
        </w:rPr>
      </w:pPr>
      <w:r>
        <w:rPr>
          <w:rFonts w:ascii="Times New Roman" w:hAnsi="Times New Roman"/>
          <w:sz w:val="24"/>
          <w:szCs w:val="24"/>
        </w:rPr>
        <w:t>F</w:t>
      </w:r>
      <w:r w:rsidR="00C15D7B" w:rsidRPr="002F1C3E">
        <w:rPr>
          <w:rFonts w:ascii="Times New Roman" w:hAnsi="Times New Roman"/>
          <w:sz w:val="24"/>
          <w:szCs w:val="24"/>
        </w:rPr>
        <w:t xml:space="preserve">akultet ostvaruje </w:t>
      </w:r>
      <w:r w:rsidR="00BC2A27">
        <w:rPr>
          <w:rFonts w:ascii="Times New Roman" w:hAnsi="Times New Roman"/>
          <w:sz w:val="24"/>
          <w:szCs w:val="24"/>
        </w:rPr>
        <w:t xml:space="preserve">vlastite </w:t>
      </w:r>
      <w:r>
        <w:rPr>
          <w:rFonts w:ascii="Times New Roman" w:hAnsi="Times New Roman"/>
          <w:sz w:val="24"/>
          <w:szCs w:val="24"/>
        </w:rPr>
        <w:t>prihode od tečajeva stalnog us</w:t>
      </w:r>
      <w:r w:rsidR="00846B07">
        <w:rPr>
          <w:rFonts w:ascii="Times New Roman" w:hAnsi="Times New Roman"/>
          <w:sz w:val="24"/>
          <w:szCs w:val="24"/>
        </w:rPr>
        <w:t>avršavanja i programa cjeloživotnog obrazovanja</w:t>
      </w:r>
      <w:r w:rsidR="00E205B1">
        <w:rPr>
          <w:rFonts w:ascii="Times New Roman" w:hAnsi="Times New Roman"/>
          <w:sz w:val="24"/>
          <w:szCs w:val="24"/>
        </w:rPr>
        <w:t xml:space="preserve"> koje izvode Centar za strane jezike i Croaticum – Centar za hrvatski kao drugi</w:t>
      </w:r>
      <w:r w:rsidR="00656FA1">
        <w:rPr>
          <w:rFonts w:ascii="Times New Roman" w:hAnsi="Times New Roman"/>
          <w:sz w:val="24"/>
          <w:szCs w:val="24"/>
        </w:rPr>
        <w:t xml:space="preserve"> i strani jezik</w:t>
      </w:r>
      <w:r w:rsidR="00060F99">
        <w:rPr>
          <w:rFonts w:ascii="Times New Roman" w:hAnsi="Times New Roman"/>
          <w:sz w:val="24"/>
          <w:szCs w:val="24"/>
        </w:rPr>
        <w:t xml:space="preserve"> i specijalistič</w:t>
      </w:r>
      <w:r w:rsidR="002D4C35">
        <w:rPr>
          <w:rFonts w:ascii="Times New Roman" w:hAnsi="Times New Roman"/>
          <w:sz w:val="24"/>
          <w:szCs w:val="24"/>
        </w:rPr>
        <w:t>k</w:t>
      </w:r>
      <w:r w:rsidR="00060F99">
        <w:rPr>
          <w:rFonts w:ascii="Times New Roman" w:hAnsi="Times New Roman"/>
          <w:sz w:val="24"/>
          <w:szCs w:val="24"/>
        </w:rPr>
        <w:t xml:space="preserve">og poslijediplomskog studija. </w:t>
      </w:r>
      <w:r w:rsidR="00656FA1">
        <w:rPr>
          <w:rFonts w:ascii="Times New Roman" w:hAnsi="Times New Roman"/>
          <w:sz w:val="24"/>
          <w:szCs w:val="24"/>
        </w:rPr>
        <w:t xml:space="preserve"> </w:t>
      </w:r>
      <w:r w:rsidR="001C79EA">
        <w:rPr>
          <w:rFonts w:ascii="Times New Roman" w:hAnsi="Times New Roman"/>
          <w:sz w:val="24"/>
          <w:szCs w:val="24"/>
        </w:rPr>
        <w:t>Prihod fakultet ostvaruje i od</w:t>
      </w:r>
      <w:r w:rsidR="00BA7288">
        <w:rPr>
          <w:rFonts w:ascii="Times New Roman" w:hAnsi="Times New Roman"/>
          <w:sz w:val="24"/>
          <w:szCs w:val="24"/>
        </w:rPr>
        <w:t xml:space="preserve"> </w:t>
      </w:r>
      <w:r w:rsidR="0087317C">
        <w:rPr>
          <w:rFonts w:ascii="Times New Roman" w:hAnsi="Times New Roman"/>
          <w:sz w:val="24"/>
          <w:szCs w:val="24"/>
        </w:rPr>
        <w:t>stručnih projekata, prijevoda, elaborata, ekspertiza i ostalih sličnih poslova</w:t>
      </w:r>
      <w:r w:rsidR="00B44673">
        <w:rPr>
          <w:rFonts w:ascii="Times New Roman" w:hAnsi="Times New Roman"/>
          <w:sz w:val="24"/>
          <w:szCs w:val="24"/>
        </w:rPr>
        <w:t xml:space="preserve">, stručnih mišljenja u izboru u zvanje, nakladničke djelatnosti, </w:t>
      </w:r>
      <w:r w:rsidR="00E866D4">
        <w:rPr>
          <w:rFonts w:ascii="Times New Roman" w:hAnsi="Times New Roman"/>
          <w:sz w:val="24"/>
          <w:szCs w:val="24"/>
        </w:rPr>
        <w:t>naknade nastalih troškova studija (diploma, razredbenog po</w:t>
      </w:r>
      <w:r w:rsidR="008D418B">
        <w:rPr>
          <w:rFonts w:ascii="Times New Roman" w:hAnsi="Times New Roman"/>
          <w:sz w:val="24"/>
          <w:szCs w:val="24"/>
        </w:rPr>
        <w:t>s</w:t>
      </w:r>
      <w:r w:rsidR="00E866D4">
        <w:rPr>
          <w:rFonts w:ascii="Times New Roman" w:hAnsi="Times New Roman"/>
          <w:sz w:val="24"/>
          <w:szCs w:val="24"/>
        </w:rPr>
        <w:t>tupka i drugo)</w:t>
      </w:r>
      <w:r w:rsidR="008D418B">
        <w:rPr>
          <w:rFonts w:ascii="Times New Roman" w:hAnsi="Times New Roman"/>
          <w:sz w:val="24"/>
          <w:szCs w:val="24"/>
        </w:rPr>
        <w:t>, iznajmljivanje prostora</w:t>
      </w:r>
      <w:r w:rsidR="00FC538A">
        <w:rPr>
          <w:rFonts w:ascii="Times New Roman" w:hAnsi="Times New Roman"/>
          <w:sz w:val="24"/>
          <w:szCs w:val="24"/>
        </w:rPr>
        <w:t>, usluge snimanja</w:t>
      </w:r>
      <w:r w:rsidR="002D4C35">
        <w:rPr>
          <w:rFonts w:ascii="Times New Roman" w:hAnsi="Times New Roman"/>
          <w:sz w:val="24"/>
          <w:szCs w:val="24"/>
        </w:rPr>
        <w:t xml:space="preserve"> i drugih stručnih usluga. </w:t>
      </w:r>
      <w:r w:rsidR="001A2250">
        <w:rPr>
          <w:rFonts w:ascii="Times New Roman" w:hAnsi="Times New Roman"/>
          <w:sz w:val="24"/>
          <w:szCs w:val="24"/>
        </w:rPr>
        <w:t xml:space="preserve">Iz ostvarenih prihoda </w:t>
      </w:r>
      <w:r w:rsidR="009171E0">
        <w:rPr>
          <w:rFonts w:ascii="Times New Roman" w:hAnsi="Times New Roman"/>
          <w:sz w:val="24"/>
          <w:szCs w:val="24"/>
        </w:rPr>
        <w:t xml:space="preserve">podmiruju se </w:t>
      </w:r>
      <w:r w:rsidR="00DB3782">
        <w:rPr>
          <w:rFonts w:ascii="Times New Roman" w:hAnsi="Times New Roman"/>
          <w:sz w:val="24"/>
          <w:szCs w:val="24"/>
        </w:rPr>
        <w:t>mat</w:t>
      </w:r>
      <w:r w:rsidR="0000691E">
        <w:rPr>
          <w:rFonts w:ascii="Times New Roman" w:hAnsi="Times New Roman"/>
          <w:sz w:val="24"/>
          <w:szCs w:val="24"/>
        </w:rPr>
        <w:t>erijalni troškovi koji su po</w:t>
      </w:r>
      <w:r w:rsidR="00DA6E46">
        <w:rPr>
          <w:rFonts w:ascii="Times New Roman" w:hAnsi="Times New Roman"/>
          <w:sz w:val="24"/>
          <w:szCs w:val="24"/>
        </w:rPr>
        <w:t>vezani</w:t>
      </w:r>
      <w:r w:rsidR="0000691E">
        <w:rPr>
          <w:rFonts w:ascii="Times New Roman" w:hAnsi="Times New Roman"/>
          <w:sz w:val="24"/>
          <w:szCs w:val="24"/>
        </w:rPr>
        <w:t xml:space="preserve"> </w:t>
      </w:r>
      <w:r w:rsidR="00DE4482">
        <w:rPr>
          <w:rFonts w:ascii="Times New Roman" w:hAnsi="Times New Roman"/>
          <w:sz w:val="24"/>
          <w:szCs w:val="24"/>
        </w:rPr>
        <w:t>s</w:t>
      </w:r>
      <w:r w:rsidR="0000691E">
        <w:rPr>
          <w:rFonts w:ascii="Times New Roman" w:hAnsi="Times New Roman"/>
          <w:sz w:val="24"/>
          <w:szCs w:val="24"/>
        </w:rPr>
        <w:t>a</w:t>
      </w:r>
      <w:r w:rsidR="009171E0">
        <w:rPr>
          <w:rFonts w:ascii="Times New Roman" w:hAnsi="Times New Roman"/>
          <w:sz w:val="24"/>
          <w:szCs w:val="24"/>
        </w:rPr>
        <w:t xml:space="preserve"> izv</w:t>
      </w:r>
      <w:r w:rsidR="00291D5C">
        <w:rPr>
          <w:rFonts w:ascii="Times New Roman" w:hAnsi="Times New Roman"/>
          <w:sz w:val="24"/>
          <w:szCs w:val="24"/>
        </w:rPr>
        <w:t>o</w:t>
      </w:r>
      <w:r w:rsidR="009171E0">
        <w:rPr>
          <w:rFonts w:ascii="Times New Roman" w:hAnsi="Times New Roman"/>
          <w:sz w:val="24"/>
          <w:szCs w:val="24"/>
        </w:rPr>
        <w:t>đenj</w:t>
      </w:r>
      <w:r w:rsidR="00DE4482">
        <w:rPr>
          <w:rFonts w:ascii="Times New Roman" w:hAnsi="Times New Roman"/>
          <w:sz w:val="24"/>
          <w:szCs w:val="24"/>
        </w:rPr>
        <w:t>em</w:t>
      </w:r>
      <w:r w:rsidR="009171E0">
        <w:rPr>
          <w:rFonts w:ascii="Times New Roman" w:hAnsi="Times New Roman"/>
          <w:sz w:val="24"/>
          <w:szCs w:val="24"/>
        </w:rPr>
        <w:t xml:space="preserve"> tečaja i studija</w:t>
      </w:r>
      <w:r w:rsidR="00DB3782">
        <w:rPr>
          <w:rFonts w:ascii="Times New Roman" w:hAnsi="Times New Roman"/>
          <w:sz w:val="24"/>
          <w:szCs w:val="24"/>
        </w:rPr>
        <w:t xml:space="preserve">, </w:t>
      </w:r>
      <w:r w:rsidR="000E643B">
        <w:rPr>
          <w:rFonts w:ascii="Times New Roman" w:hAnsi="Times New Roman"/>
          <w:sz w:val="24"/>
          <w:szCs w:val="24"/>
        </w:rPr>
        <w:t>rashoda za zaposlene koji su po</w:t>
      </w:r>
      <w:r w:rsidR="001C4ABB">
        <w:rPr>
          <w:rFonts w:ascii="Times New Roman" w:hAnsi="Times New Roman"/>
          <w:sz w:val="24"/>
          <w:szCs w:val="24"/>
        </w:rPr>
        <w:t>trebni za obavljanje dopunske djelatnosti</w:t>
      </w:r>
      <w:r w:rsidR="000749C9">
        <w:rPr>
          <w:rFonts w:ascii="Times New Roman" w:hAnsi="Times New Roman"/>
          <w:sz w:val="24"/>
          <w:szCs w:val="24"/>
        </w:rPr>
        <w:t xml:space="preserve"> i ostalih troškova. </w:t>
      </w:r>
    </w:p>
    <w:p w14:paraId="0860C7D3" w14:textId="03DEA4A0" w:rsidR="00A6489C" w:rsidRDefault="00A6489C" w:rsidP="00A6489C">
      <w:pPr>
        <w:spacing w:after="176" w:line="252" w:lineRule="auto"/>
        <w:ind w:right="4"/>
        <w:jc w:val="both"/>
        <w:rPr>
          <w:sz w:val="24"/>
          <w:szCs w:val="24"/>
        </w:rPr>
      </w:pPr>
    </w:p>
    <w:p w14:paraId="73064243" w14:textId="77777777" w:rsidR="000749C9" w:rsidRPr="00752D97" w:rsidRDefault="00B45553" w:rsidP="000749C9">
      <w:pPr>
        <w:spacing w:after="176" w:line="252" w:lineRule="auto"/>
        <w:ind w:right="4"/>
        <w:jc w:val="both"/>
        <w:rPr>
          <w:rFonts w:ascii="Times New Roman" w:hAnsi="Times New Roman"/>
          <w:sz w:val="24"/>
          <w:szCs w:val="24"/>
        </w:rPr>
      </w:pPr>
      <w:r w:rsidRPr="00752D97">
        <w:rPr>
          <w:rFonts w:ascii="Times New Roman" w:hAnsi="Times New Roman"/>
          <w:sz w:val="24"/>
          <w:szCs w:val="24"/>
        </w:rPr>
        <w:t>43 Ostali prihodi za posebne namjene</w:t>
      </w:r>
    </w:p>
    <w:p w14:paraId="63E22596" w14:textId="132FE11A" w:rsidR="00E45060" w:rsidRPr="00752D97" w:rsidRDefault="000749C9" w:rsidP="000749C9">
      <w:pPr>
        <w:spacing w:after="176" w:line="252" w:lineRule="auto"/>
        <w:ind w:right="4"/>
        <w:jc w:val="both"/>
        <w:rPr>
          <w:rFonts w:ascii="Times New Roman" w:hAnsi="Times New Roman"/>
          <w:sz w:val="24"/>
          <w:szCs w:val="24"/>
        </w:rPr>
      </w:pPr>
      <w:r w:rsidRPr="00752D97">
        <w:rPr>
          <w:rFonts w:ascii="Times New Roman" w:hAnsi="Times New Roman"/>
          <w:sz w:val="24"/>
          <w:szCs w:val="24"/>
        </w:rPr>
        <w:t>Pri</w:t>
      </w:r>
      <w:r w:rsidR="00E45060" w:rsidRPr="00752D97">
        <w:rPr>
          <w:rFonts w:ascii="Times New Roman" w:hAnsi="Times New Roman"/>
          <w:sz w:val="24"/>
          <w:szCs w:val="24"/>
        </w:rPr>
        <w:t>hodi iz ovog izvora</w:t>
      </w:r>
      <w:r w:rsidR="00B45553" w:rsidRPr="00752D97">
        <w:rPr>
          <w:rFonts w:ascii="Times New Roman" w:hAnsi="Times New Roman"/>
          <w:sz w:val="24"/>
          <w:szCs w:val="24"/>
        </w:rPr>
        <w:t xml:space="preserve"> odnose na prihode</w:t>
      </w:r>
      <w:r w:rsidR="00122CAE" w:rsidRPr="00752D97">
        <w:rPr>
          <w:rFonts w:ascii="Times New Roman" w:hAnsi="Times New Roman"/>
          <w:sz w:val="24"/>
          <w:szCs w:val="24"/>
        </w:rPr>
        <w:t xml:space="preserve"> ostvarene od </w:t>
      </w:r>
      <w:r w:rsidR="00B45553" w:rsidRPr="00752D97">
        <w:rPr>
          <w:rFonts w:ascii="Times New Roman" w:hAnsi="Times New Roman"/>
          <w:sz w:val="24"/>
          <w:szCs w:val="24"/>
        </w:rPr>
        <w:t xml:space="preserve"> </w:t>
      </w:r>
      <w:r w:rsidR="00122CAE" w:rsidRPr="00752D97">
        <w:rPr>
          <w:rFonts w:ascii="Times New Roman" w:hAnsi="Times New Roman"/>
          <w:sz w:val="24"/>
          <w:szCs w:val="24"/>
        </w:rPr>
        <w:t>participacije</w:t>
      </w:r>
      <w:r w:rsidR="00187D08" w:rsidRPr="00752D97">
        <w:rPr>
          <w:rFonts w:ascii="Times New Roman" w:hAnsi="Times New Roman"/>
          <w:sz w:val="24"/>
          <w:szCs w:val="24"/>
        </w:rPr>
        <w:t xml:space="preserve"> studenata kojima studenti sudjeluju u troškovima </w:t>
      </w:r>
      <w:r w:rsidR="00EE7471" w:rsidRPr="00752D97">
        <w:rPr>
          <w:rFonts w:ascii="Times New Roman" w:hAnsi="Times New Roman"/>
          <w:sz w:val="24"/>
          <w:szCs w:val="24"/>
        </w:rPr>
        <w:t xml:space="preserve">redovitih </w:t>
      </w:r>
      <w:r w:rsidR="00B45553" w:rsidRPr="00752D97">
        <w:rPr>
          <w:rFonts w:ascii="Times New Roman" w:hAnsi="Times New Roman"/>
          <w:sz w:val="24"/>
          <w:szCs w:val="24"/>
        </w:rPr>
        <w:t>preddiplomsk</w:t>
      </w:r>
      <w:r w:rsidR="00EE7471" w:rsidRPr="00752D97">
        <w:rPr>
          <w:rFonts w:ascii="Times New Roman" w:hAnsi="Times New Roman"/>
          <w:sz w:val="24"/>
          <w:szCs w:val="24"/>
        </w:rPr>
        <w:t>ih i</w:t>
      </w:r>
      <w:r w:rsidR="00B45553" w:rsidRPr="00752D97">
        <w:rPr>
          <w:rFonts w:ascii="Times New Roman" w:hAnsi="Times New Roman"/>
          <w:sz w:val="24"/>
          <w:szCs w:val="24"/>
        </w:rPr>
        <w:t xml:space="preserve"> diplomsk</w:t>
      </w:r>
      <w:r w:rsidR="00EE7471" w:rsidRPr="00752D97">
        <w:rPr>
          <w:rFonts w:ascii="Times New Roman" w:hAnsi="Times New Roman"/>
          <w:sz w:val="24"/>
          <w:szCs w:val="24"/>
        </w:rPr>
        <w:t>ih</w:t>
      </w:r>
      <w:r w:rsidR="00B45553" w:rsidRPr="00752D97">
        <w:rPr>
          <w:rFonts w:ascii="Times New Roman" w:hAnsi="Times New Roman"/>
          <w:sz w:val="24"/>
          <w:szCs w:val="24"/>
        </w:rPr>
        <w:t xml:space="preserve"> studij</w:t>
      </w:r>
      <w:r w:rsidR="00992DB9">
        <w:rPr>
          <w:rFonts w:ascii="Times New Roman" w:hAnsi="Times New Roman"/>
          <w:sz w:val="24"/>
          <w:szCs w:val="24"/>
        </w:rPr>
        <w:t>a</w:t>
      </w:r>
      <w:r w:rsidR="00EE7471" w:rsidRPr="00752D97">
        <w:rPr>
          <w:rFonts w:ascii="Times New Roman" w:hAnsi="Times New Roman"/>
          <w:sz w:val="24"/>
          <w:szCs w:val="24"/>
        </w:rPr>
        <w:t>,</w:t>
      </w:r>
      <w:r w:rsidR="00B45553" w:rsidRPr="00752D97">
        <w:rPr>
          <w:rFonts w:ascii="Times New Roman" w:hAnsi="Times New Roman"/>
          <w:sz w:val="24"/>
          <w:szCs w:val="24"/>
        </w:rPr>
        <w:t xml:space="preserve"> </w:t>
      </w:r>
      <w:r w:rsidR="004F2E80" w:rsidRPr="00752D97">
        <w:rPr>
          <w:rFonts w:ascii="Times New Roman" w:hAnsi="Times New Roman"/>
          <w:sz w:val="24"/>
          <w:szCs w:val="24"/>
        </w:rPr>
        <w:t xml:space="preserve">školarina </w:t>
      </w:r>
      <w:r w:rsidR="00B45553" w:rsidRPr="00752D97">
        <w:rPr>
          <w:rFonts w:ascii="Times New Roman" w:hAnsi="Times New Roman"/>
          <w:sz w:val="24"/>
          <w:szCs w:val="24"/>
        </w:rPr>
        <w:t>od poslijediplomskih doktorskih studija</w:t>
      </w:r>
      <w:r w:rsidR="00D20EAD" w:rsidRPr="00752D97">
        <w:rPr>
          <w:rFonts w:ascii="Times New Roman" w:hAnsi="Times New Roman"/>
          <w:sz w:val="24"/>
          <w:szCs w:val="24"/>
        </w:rPr>
        <w:t xml:space="preserve"> i izvanrednog </w:t>
      </w:r>
      <w:r w:rsidR="00112506" w:rsidRPr="00752D97">
        <w:rPr>
          <w:rFonts w:ascii="Times New Roman" w:hAnsi="Times New Roman"/>
          <w:sz w:val="24"/>
          <w:szCs w:val="24"/>
        </w:rPr>
        <w:t xml:space="preserve">studija </w:t>
      </w:r>
      <w:r w:rsidR="00FB03B3" w:rsidRPr="00752D97">
        <w:rPr>
          <w:rFonts w:ascii="Times New Roman" w:hAnsi="Times New Roman"/>
          <w:sz w:val="24"/>
          <w:szCs w:val="24"/>
        </w:rPr>
        <w:t xml:space="preserve">bibliotekarstvo. </w:t>
      </w:r>
      <w:r w:rsidR="00B711A1" w:rsidRPr="00752D97">
        <w:rPr>
          <w:rFonts w:ascii="Times New Roman" w:hAnsi="Times New Roman"/>
          <w:sz w:val="24"/>
          <w:szCs w:val="24"/>
        </w:rPr>
        <w:t xml:space="preserve">Prihodi se koriste </w:t>
      </w:r>
      <w:r w:rsidR="00E103E0" w:rsidRPr="00752D97">
        <w:rPr>
          <w:rFonts w:ascii="Times New Roman" w:hAnsi="Times New Roman"/>
          <w:sz w:val="24"/>
          <w:szCs w:val="24"/>
        </w:rPr>
        <w:t xml:space="preserve">za podmirenje zajedničkih </w:t>
      </w:r>
      <w:r w:rsidR="00143596" w:rsidRPr="00752D97">
        <w:rPr>
          <w:rFonts w:ascii="Times New Roman" w:hAnsi="Times New Roman"/>
          <w:sz w:val="24"/>
          <w:szCs w:val="24"/>
        </w:rPr>
        <w:t>troškova Fakulteta</w:t>
      </w:r>
      <w:r w:rsidR="00C44C2F" w:rsidRPr="00752D97">
        <w:rPr>
          <w:rFonts w:ascii="Times New Roman" w:hAnsi="Times New Roman"/>
          <w:sz w:val="24"/>
          <w:szCs w:val="24"/>
        </w:rPr>
        <w:t xml:space="preserve"> koje se troše na </w:t>
      </w:r>
      <w:r w:rsidR="00210836" w:rsidRPr="00752D97">
        <w:rPr>
          <w:rFonts w:ascii="Times New Roman" w:hAnsi="Times New Roman"/>
          <w:sz w:val="24"/>
          <w:szCs w:val="24"/>
        </w:rPr>
        <w:t>materijalne rashode</w:t>
      </w:r>
      <w:r w:rsidR="005902A8" w:rsidRPr="00752D97">
        <w:rPr>
          <w:rFonts w:ascii="Times New Roman" w:hAnsi="Times New Roman"/>
          <w:sz w:val="24"/>
          <w:szCs w:val="24"/>
        </w:rPr>
        <w:t xml:space="preserve"> vezane uz rad organiz</w:t>
      </w:r>
      <w:r w:rsidR="00C4049F" w:rsidRPr="00752D97">
        <w:rPr>
          <w:rFonts w:ascii="Times New Roman" w:hAnsi="Times New Roman"/>
          <w:sz w:val="24"/>
          <w:szCs w:val="24"/>
        </w:rPr>
        <w:t xml:space="preserve">acijskih </w:t>
      </w:r>
      <w:r w:rsidR="005902A8" w:rsidRPr="00752D97">
        <w:rPr>
          <w:rFonts w:ascii="Times New Roman" w:hAnsi="Times New Roman"/>
          <w:sz w:val="24"/>
          <w:szCs w:val="24"/>
        </w:rPr>
        <w:t xml:space="preserve"> jedinica</w:t>
      </w:r>
      <w:r w:rsidR="00E2313A" w:rsidRPr="00752D97">
        <w:rPr>
          <w:rFonts w:ascii="Times New Roman" w:hAnsi="Times New Roman"/>
          <w:sz w:val="24"/>
          <w:szCs w:val="24"/>
        </w:rPr>
        <w:t>, rashode za zaposlene koji se ne financiraju iz Drž</w:t>
      </w:r>
      <w:r w:rsidR="00E519D7" w:rsidRPr="00752D97">
        <w:rPr>
          <w:rFonts w:ascii="Times New Roman" w:hAnsi="Times New Roman"/>
          <w:sz w:val="24"/>
          <w:szCs w:val="24"/>
        </w:rPr>
        <w:t>avnog proračuna</w:t>
      </w:r>
      <w:r w:rsidR="00C25B45" w:rsidRPr="00752D97">
        <w:rPr>
          <w:rFonts w:ascii="Times New Roman" w:hAnsi="Times New Roman"/>
          <w:sz w:val="24"/>
          <w:szCs w:val="24"/>
        </w:rPr>
        <w:t xml:space="preserve"> i nabavu opreme</w:t>
      </w:r>
      <w:r w:rsidR="00416527" w:rsidRPr="00752D97">
        <w:rPr>
          <w:rFonts w:ascii="Times New Roman" w:hAnsi="Times New Roman"/>
          <w:sz w:val="24"/>
          <w:szCs w:val="24"/>
        </w:rPr>
        <w:t xml:space="preserve">. </w:t>
      </w:r>
      <w:r w:rsidR="002E6272" w:rsidRPr="00752D97">
        <w:rPr>
          <w:rFonts w:ascii="Times New Roman" w:hAnsi="Times New Roman"/>
          <w:sz w:val="24"/>
          <w:szCs w:val="24"/>
        </w:rPr>
        <w:t>Prihod</w:t>
      </w:r>
      <w:r w:rsidR="006B4F24" w:rsidRPr="00752D97">
        <w:rPr>
          <w:rFonts w:ascii="Times New Roman" w:hAnsi="Times New Roman"/>
          <w:sz w:val="24"/>
          <w:szCs w:val="24"/>
        </w:rPr>
        <w:t>om</w:t>
      </w:r>
      <w:r w:rsidR="002E6272" w:rsidRPr="00752D97">
        <w:rPr>
          <w:rFonts w:ascii="Times New Roman" w:hAnsi="Times New Roman"/>
          <w:sz w:val="24"/>
          <w:szCs w:val="24"/>
        </w:rPr>
        <w:t xml:space="preserve"> od poslijediplomskih studij</w:t>
      </w:r>
      <w:r w:rsidR="00D7632E" w:rsidRPr="00752D97">
        <w:rPr>
          <w:rFonts w:ascii="Times New Roman" w:hAnsi="Times New Roman"/>
          <w:sz w:val="24"/>
          <w:szCs w:val="24"/>
        </w:rPr>
        <w:t xml:space="preserve">a podmiruju </w:t>
      </w:r>
      <w:r w:rsidR="000F6E3D">
        <w:rPr>
          <w:rFonts w:ascii="Times New Roman" w:hAnsi="Times New Roman"/>
          <w:sz w:val="24"/>
          <w:szCs w:val="24"/>
        </w:rPr>
        <w:t xml:space="preserve">se </w:t>
      </w:r>
      <w:r w:rsidR="00197C2D" w:rsidRPr="00752D97">
        <w:rPr>
          <w:rFonts w:ascii="Times New Roman" w:hAnsi="Times New Roman"/>
          <w:sz w:val="24"/>
          <w:szCs w:val="24"/>
        </w:rPr>
        <w:t>mat</w:t>
      </w:r>
      <w:r w:rsidR="00504B15" w:rsidRPr="00752D97">
        <w:rPr>
          <w:rFonts w:ascii="Times New Roman" w:hAnsi="Times New Roman"/>
          <w:sz w:val="24"/>
          <w:szCs w:val="24"/>
        </w:rPr>
        <w:t>erijalni</w:t>
      </w:r>
      <w:r w:rsidR="00197C2D" w:rsidRPr="00752D97">
        <w:rPr>
          <w:rFonts w:ascii="Times New Roman" w:hAnsi="Times New Roman"/>
          <w:sz w:val="24"/>
          <w:szCs w:val="24"/>
        </w:rPr>
        <w:t xml:space="preserve"> tro</w:t>
      </w:r>
      <w:r w:rsidR="00504B15" w:rsidRPr="00752D97">
        <w:rPr>
          <w:rFonts w:ascii="Times New Roman" w:hAnsi="Times New Roman"/>
          <w:sz w:val="24"/>
          <w:szCs w:val="24"/>
        </w:rPr>
        <w:t>škovi</w:t>
      </w:r>
      <w:r w:rsidR="00197C2D" w:rsidRPr="00752D97">
        <w:rPr>
          <w:rFonts w:ascii="Times New Roman" w:hAnsi="Times New Roman"/>
          <w:sz w:val="24"/>
          <w:szCs w:val="24"/>
        </w:rPr>
        <w:t xml:space="preserve"> povezan</w:t>
      </w:r>
      <w:r w:rsidR="00B71527">
        <w:rPr>
          <w:rFonts w:ascii="Times New Roman" w:hAnsi="Times New Roman"/>
          <w:sz w:val="24"/>
          <w:szCs w:val="24"/>
        </w:rPr>
        <w:t>i</w:t>
      </w:r>
      <w:r w:rsidR="00197C2D" w:rsidRPr="00752D97">
        <w:rPr>
          <w:rFonts w:ascii="Times New Roman" w:hAnsi="Times New Roman"/>
          <w:sz w:val="24"/>
          <w:szCs w:val="24"/>
        </w:rPr>
        <w:t xml:space="preserve"> s izvođenjem programa</w:t>
      </w:r>
      <w:r w:rsidR="006B4F24" w:rsidRPr="00752D97">
        <w:rPr>
          <w:rFonts w:ascii="Times New Roman" w:hAnsi="Times New Roman"/>
          <w:sz w:val="24"/>
          <w:szCs w:val="24"/>
        </w:rPr>
        <w:t xml:space="preserve"> i </w:t>
      </w:r>
      <w:r w:rsidR="009A06FB" w:rsidRPr="00752D97">
        <w:rPr>
          <w:rFonts w:ascii="Times New Roman" w:hAnsi="Times New Roman"/>
          <w:sz w:val="24"/>
          <w:szCs w:val="24"/>
        </w:rPr>
        <w:t xml:space="preserve">naknade za rad suradnicima. </w:t>
      </w:r>
    </w:p>
    <w:p w14:paraId="34B6E37D" w14:textId="06B7876E" w:rsidR="00E45060" w:rsidRPr="00752D97" w:rsidRDefault="00E45060" w:rsidP="000749C9">
      <w:pPr>
        <w:spacing w:after="176" w:line="252" w:lineRule="auto"/>
        <w:ind w:right="4"/>
        <w:jc w:val="both"/>
        <w:rPr>
          <w:rFonts w:ascii="Times New Roman" w:hAnsi="Times New Roman"/>
          <w:sz w:val="24"/>
          <w:szCs w:val="24"/>
        </w:rPr>
      </w:pPr>
    </w:p>
    <w:p w14:paraId="49D349B9" w14:textId="67216255" w:rsidR="00991824" w:rsidRPr="00D91B8B" w:rsidRDefault="00991824" w:rsidP="000749C9">
      <w:pPr>
        <w:spacing w:after="176" w:line="252" w:lineRule="auto"/>
        <w:ind w:right="4"/>
        <w:jc w:val="both"/>
        <w:rPr>
          <w:rFonts w:ascii="Times New Roman" w:hAnsi="Times New Roman"/>
          <w:sz w:val="24"/>
          <w:szCs w:val="24"/>
        </w:rPr>
      </w:pPr>
      <w:r w:rsidRPr="00D91B8B">
        <w:rPr>
          <w:rFonts w:ascii="Times New Roman" w:hAnsi="Times New Roman"/>
          <w:sz w:val="24"/>
          <w:szCs w:val="24"/>
        </w:rPr>
        <w:t>61 Donacije</w:t>
      </w:r>
    </w:p>
    <w:p w14:paraId="007596A0" w14:textId="4A74EF55" w:rsidR="0023252E" w:rsidRPr="00752D97" w:rsidRDefault="00D91B8B" w:rsidP="0023252E">
      <w:pPr>
        <w:jc w:val="both"/>
        <w:rPr>
          <w:rFonts w:ascii="Times New Roman" w:eastAsia="Calibri" w:hAnsi="Times New Roman"/>
          <w:bCs/>
          <w:sz w:val="24"/>
          <w:szCs w:val="24"/>
        </w:rPr>
      </w:pPr>
      <w:r>
        <w:rPr>
          <w:rFonts w:ascii="Times New Roman" w:hAnsi="Times New Roman"/>
          <w:sz w:val="24"/>
          <w:szCs w:val="24"/>
        </w:rPr>
        <w:t>Na</w:t>
      </w:r>
      <w:r w:rsidR="002C4994" w:rsidRPr="00752D97">
        <w:rPr>
          <w:rFonts w:ascii="Times New Roman" w:hAnsi="Times New Roman"/>
          <w:sz w:val="24"/>
          <w:szCs w:val="24"/>
        </w:rPr>
        <w:t xml:space="preserve"> izvor</w:t>
      </w:r>
      <w:r>
        <w:rPr>
          <w:rFonts w:ascii="Times New Roman" w:hAnsi="Times New Roman"/>
          <w:sz w:val="24"/>
          <w:szCs w:val="24"/>
        </w:rPr>
        <w:t>u</w:t>
      </w:r>
      <w:r w:rsidR="002C4994" w:rsidRPr="00752D97">
        <w:rPr>
          <w:rFonts w:ascii="Times New Roman" w:hAnsi="Times New Roman"/>
          <w:sz w:val="24"/>
          <w:szCs w:val="24"/>
        </w:rPr>
        <w:t xml:space="preserve"> </w:t>
      </w:r>
      <w:r w:rsidR="00C67DD5" w:rsidRPr="00752D97">
        <w:rPr>
          <w:rFonts w:ascii="Times New Roman" w:hAnsi="Times New Roman"/>
          <w:sz w:val="24"/>
          <w:szCs w:val="24"/>
        </w:rPr>
        <w:t xml:space="preserve">61 </w:t>
      </w:r>
      <w:r w:rsidR="0023252E" w:rsidRPr="00752D97">
        <w:rPr>
          <w:rFonts w:ascii="Times New Roman" w:hAnsi="Times New Roman"/>
          <w:sz w:val="24"/>
          <w:szCs w:val="24"/>
        </w:rPr>
        <w:t>su prihodi koje Fakultet ostvaruje od</w:t>
      </w:r>
      <w:r w:rsidR="0023252E" w:rsidRPr="00752D97">
        <w:rPr>
          <w:rFonts w:ascii="Times New Roman" w:eastAsia="Calibri" w:hAnsi="Times New Roman"/>
          <w:bCs/>
          <w:sz w:val="24"/>
          <w:szCs w:val="24"/>
        </w:rPr>
        <w:t xml:space="preserve"> projekata</w:t>
      </w:r>
      <w:r w:rsidR="00752D97" w:rsidRPr="00752D97">
        <w:rPr>
          <w:rFonts w:ascii="Times New Roman" w:eastAsia="Calibri" w:hAnsi="Times New Roman"/>
          <w:bCs/>
          <w:sz w:val="24"/>
          <w:szCs w:val="24"/>
        </w:rPr>
        <w:t xml:space="preserve"> sa</w:t>
      </w:r>
      <w:r w:rsidR="0023252E" w:rsidRPr="00752D97">
        <w:rPr>
          <w:rFonts w:ascii="Times New Roman" w:eastAsia="Calibri" w:hAnsi="Times New Roman"/>
          <w:bCs/>
          <w:sz w:val="24"/>
          <w:szCs w:val="24"/>
        </w:rPr>
        <w:t xml:space="preserve"> neprofitn</w:t>
      </w:r>
      <w:r w:rsidR="00752D97" w:rsidRPr="00752D97">
        <w:rPr>
          <w:rFonts w:ascii="Times New Roman" w:eastAsia="Calibri" w:hAnsi="Times New Roman"/>
          <w:bCs/>
          <w:sz w:val="24"/>
          <w:szCs w:val="24"/>
        </w:rPr>
        <w:t>om</w:t>
      </w:r>
      <w:r w:rsidR="0023252E" w:rsidRPr="00752D97">
        <w:rPr>
          <w:rFonts w:ascii="Times New Roman" w:eastAsia="Calibri" w:hAnsi="Times New Roman"/>
          <w:bCs/>
          <w:sz w:val="24"/>
          <w:szCs w:val="24"/>
        </w:rPr>
        <w:t xml:space="preserve"> organizacij</w:t>
      </w:r>
      <w:r w:rsidR="00752D97" w:rsidRPr="00752D97">
        <w:rPr>
          <w:rFonts w:ascii="Times New Roman" w:eastAsia="Calibri" w:hAnsi="Times New Roman"/>
          <w:bCs/>
          <w:sz w:val="24"/>
          <w:szCs w:val="24"/>
        </w:rPr>
        <w:t>om</w:t>
      </w:r>
      <w:r w:rsidR="0023252E" w:rsidRPr="00752D97">
        <w:rPr>
          <w:rFonts w:ascii="Times New Roman" w:eastAsia="Calibri" w:hAnsi="Times New Roman"/>
          <w:bCs/>
          <w:sz w:val="24"/>
          <w:szCs w:val="24"/>
        </w:rPr>
        <w:t xml:space="preserve"> i trgovačk</w:t>
      </w:r>
      <w:r w:rsidR="00752D97" w:rsidRPr="00752D97">
        <w:rPr>
          <w:rFonts w:ascii="Times New Roman" w:eastAsia="Calibri" w:hAnsi="Times New Roman"/>
          <w:bCs/>
          <w:sz w:val="24"/>
          <w:szCs w:val="24"/>
        </w:rPr>
        <w:t>im</w:t>
      </w:r>
      <w:r w:rsidR="0023252E" w:rsidRPr="00752D97">
        <w:rPr>
          <w:rFonts w:ascii="Times New Roman" w:eastAsia="Calibri" w:hAnsi="Times New Roman"/>
          <w:bCs/>
          <w:sz w:val="24"/>
          <w:szCs w:val="24"/>
        </w:rPr>
        <w:t xml:space="preserve"> društva kojima je Fakultet partner. </w:t>
      </w:r>
    </w:p>
    <w:p w14:paraId="135032BF" w14:textId="77777777" w:rsidR="00991824" w:rsidRDefault="00991824" w:rsidP="00C636AE">
      <w:pPr>
        <w:spacing w:after="176" w:line="252" w:lineRule="auto"/>
        <w:ind w:right="4"/>
        <w:jc w:val="both"/>
        <w:rPr>
          <w:sz w:val="24"/>
          <w:szCs w:val="24"/>
        </w:rPr>
      </w:pPr>
    </w:p>
    <w:p w14:paraId="65E4EC39" w14:textId="1B2FC974" w:rsidR="00C636AE" w:rsidRPr="00364B13" w:rsidRDefault="00AB498E" w:rsidP="00C636AE">
      <w:pPr>
        <w:spacing w:after="176" w:line="252" w:lineRule="auto"/>
        <w:ind w:right="4"/>
        <w:jc w:val="both"/>
        <w:rPr>
          <w:rFonts w:ascii="Times New Roman" w:hAnsi="Times New Roman"/>
          <w:sz w:val="24"/>
          <w:szCs w:val="24"/>
        </w:rPr>
      </w:pPr>
      <w:r w:rsidRPr="00364B13">
        <w:rPr>
          <w:rFonts w:ascii="Times New Roman" w:hAnsi="Times New Roman"/>
          <w:sz w:val="24"/>
          <w:szCs w:val="24"/>
        </w:rPr>
        <w:t>52 Ostale pomoći</w:t>
      </w:r>
    </w:p>
    <w:p w14:paraId="71BE71A7" w14:textId="4C3BB460" w:rsidR="00C43128" w:rsidRPr="00364B13" w:rsidRDefault="00C43128" w:rsidP="00C636AE">
      <w:pPr>
        <w:spacing w:after="176" w:line="252" w:lineRule="auto"/>
        <w:ind w:right="4"/>
        <w:jc w:val="both"/>
        <w:rPr>
          <w:rFonts w:ascii="Times New Roman" w:hAnsi="Times New Roman"/>
          <w:sz w:val="24"/>
          <w:szCs w:val="24"/>
        </w:rPr>
      </w:pPr>
      <w:r w:rsidRPr="00364B13">
        <w:rPr>
          <w:rFonts w:ascii="Times New Roman" w:hAnsi="Times New Roman"/>
          <w:sz w:val="24"/>
          <w:szCs w:val="24"/>
        </w:rPr>
        <w:t>Prihod iz izvora 52</w:t>
      </w:r>
      <w:r w:rsidR="00AB498E" w:rsidRPr="00364B13">
        <w:rPr>
          <w:rFonts w:ascii="Times New Roman" w:hAnsi="Times New Roman"/>
          <w:sz w:val="24"/>
          <w:szCs w:val="24"/>
        </w:rPr>
        <w:t xml:space="preserve"> odnose na prihode od Hrvatske zaklade za znanost (HRZZ) za projektno financiranje znanstvene djelatnosti te financiranje doktoranada i poslijedoktoranada zaposlenih na teret HRZZ</w:t>
      </w:r>
      <w:r w:rsidR="00C04B3C" w:rsidRPr="00364B13">
        <w:rPr>
          <w:rFonts w:ascii="Times New Roman" w:hAnsi="Times New Roman"/>
          <w:sz w:val="24"/>
          <w:szCs w:val="24"/>
        </w:rPr>
        <w:t>-a</w:t>
      </w:r>
      <w:r w:rsidR="00AB498E" w:rsidRPr="00364B13">
        <w:rPr>
          <w:rFonts w:ascii="Times New Roman" w:hAnsi="Times New Roman"/>
          <w:sz w:val="24"/>
          <w:szCs w:val="24"/>
        </w:rPr>
        <w:t>.</w:t>
      </w:r>
      <w:r w:rsidR="00A370F9" w:rsidRPr="00364B13">
        <w:rPr>
          <w:rFonts w:ascii="Times New Roman" w:hAnsi="Times New Roman"/>
          <w:sz w:val="24"/>
          <w:szCs w:val="24"/>
        </w:rPr>
        <w:t xml:space="preserve"> Od navedenih prihoda financiraju se rashodi za zaposlene</w:t>
      </w:r>
      <w:r w:rsidR="00732F86" w:rsidRPr="00364B13">
        <w:rPr>
          <w:rFonts w:ascii="Times New Roman" w:hAnsi="Times New Roman"/>
          <w:sz w:val="24"/>
          <w:szCs w:val="24"/>
        </w:rPr>
        <w:t xml:space="preserve"> na projektu i materijalni troškovi koji su potrebni za </w:t>
      </w:r>
      <w:r w:rsidR="0098320B" w:rsidRPr="00364B13">
        <w:rPr>
          <w:rFonts w:ascii="Times New Roman" w:hAnsi="Times New Roman"/>
          <w:sz w:val="24"/>
          <w:szCs w:val="24"/>
        </w:rPr>
        <w:t xml:space="preserve">izvođenje projekata. </w:t>
      </w:r>
      <w:r w:rsidR="00364B13" w:rsidRPr="00364B13">
        <w:rPr>
          <w:rFonts w:ascii="Times New Roman" w:hAnsi="Times New Roman"/>
          <w:sz w:val="24"/>
          <w:szCs w:val="24"/>
        </w:rPr>
        <w:t xml:space="preserve"> Na izvoru 52 </w:t>
      </w:r>
      <w:r w:rsidR="00364B13">
        <w:rPr>
          <w:rFonts w:ascii="Times New Roman" w:hAnsi="Times New Roman"/>
          <w:sz w:val="24"/>
          <w:szCs w:val="24"/>
        </w:rPr>
        <w:t>planirani su prihodi od Ministarstva zna</w:t>
      </w:r>
      <w:r w:rsidR="00471FD6">
        <w:rPr>
          <w:rFonts w:ascii="Times New Roman" w:hAnsi="Times New Roman"/>
          <w:sz w:val="24"/>
          <w:szCs w:val="24"/>
        </w:rPr>
        <w:t xml:space="preserve">nosti </w:t>
      </w:r>
      <w:r w:rsidR="00F41FFD">
        <w:rPr>
          <w:rFonts w:ascii="Times New Roman" w:hAnsi="Times New Roman"/>
          <w:sz w:val="24"/>
          <w:szCs w:val="24"/>
        </w:rPr>
        <w:t xml:space="preserve">i obrazovanja za aktivnost </w:t>
      </w:r>
      <w:r w:rsidR="003B0B82">
        <w:rPr>
          <w:rFonts w:ascii="Times New Roman" w:hAnsi="Times New Roman"/>
          <w:sz w:val="24"/>
          <w:szCs w:val="24"/>
        </w:rPr>
        <w:t>(</w:t>
      </w:r>
      <w:r w:rsidR="00EE694F">
        <w:rPr>
          <w:rFonts w:ascii="Times New Roman" w:hAnsi="Times New Roman"/>
          <w:sz w:val="24"/>
          <w:szCs w:val="24"/>
        </w:rPr>
        <w:t>A679009</w:t>
      </w:r>
      <w:r w:rsidR="003B0B82">
        <w:rPr>
          <w:rFonts w:ascii="Times New Roman" w:hAnsi="Times New Roman"/>
          <w:sz w:val="24"/>
          <w:szCs w:val="24"/>
        </w:rPr>
        <w:t>)</w:t>
      </w:r>
      <w:r w:rsidR="00EE694F">
        <w:rPr>
          <w:rFonts w:ascii="Times New Roman" w:hAnsi="Times New Roman"/>
          <w:sz w:val="24"/>
          <w:szCs w:val="24"/>
        </w:rPr>
        <w:t xml:space="preserve"> </w:t>
      </w:r>
      <w:r w:rsidR="00F41FFD">
        <w:rPr>
          <w:rFonts w:ascii="Times New Roman" w:hAnsi="Times New Roman"/>
          <w:sz w:val="24"/>
          <w:szCs w:val="24"/>
        </w:rPr>
        <w:t>re</w:t>
      </w:r>
      <w:r w:rsidR="00E010D8">
        <w:rPr>
          <w:rFonts w:ascii="Times New Roman" w:hAnsi="Times New Roman"/>
          <w:sz w:val="24"/>
          <w:szCs w:val="24"/>
        </w:rPr>
        <w:t xml:space="preserve">dovne djelatnosti </w:t>
      </w:r>
      <w:r w:rsidR="00A66099">
        <w:rPr>
          <w:rFonts w:ascii="Times New Roman" w:hAnsi="Times New Roman"/>
          <w:sz w:val="24"/>
          <w:szCs w:val="24"/>
        </w:rPr>
        <w:t xml:space="preserve">lektorata. </w:t>
      </w:r>
    </w:p>
    <w:p w14:paraId="548E1B7B" w14:textId="2304FB93" w:rsidR="00C43128" w:rsidRDefault="00C43128" w:rsidP="00C636AE">
      <w:pPr>
        <w:spacing w:after="176" w:line="252" w:lineRule="auto"/>
        <w:ind w:right="4"/>
        <w:jc w:val="both"/>
        <w:rPr>
          <w:sz w:val="24"/>
          <w:szCs w:val="24"/>
        </w:rPr>
      </w:pPr>
    </w:p>
    <w:p w14:paraId="1133EBE8" w14:textId="77777777" w:rsidR="00C13E8A" w:rsidRPr="00C636AE" w:rsidRDefault="00C13E8A" w:rsidP="00C636AE">
      <w:pPr>
        <w:spacing w:after="176" w:line="252" w:lineRule="auto"/>
        <w:ind w:right="4"/>
        <w:jc w:val="both"/>
        <w:rPr>
          <w:sz w:val="24"/>
          <w:szCs w:val="24"/>
        </w:rPr>
      </w:pPr>
    </w:p>
    <w:p w14:paraId="67B520BF" w14:textId="77777777" w:rsidR="00C629B1" w:rsidRPr="00ED18F2" w:rsidRDefault="00C629B1" w:rsidP="00F977CF">
      <w:pPr>
        <w:framePr w:hSpace="180" w:wrap="around" w:vAnchor="page" w:hAnchor="margin" w:y="1561"/>
        <w:ind w:right="6"/>
        <w:rPr>
          <w:rFonts w:eastAsia="Times New Roman" w:cs="Calibri"/>
          <w:sz w:val="24"/>
          <w:szCs w:val="24"/>
          <w:lang w:eastAsia="hr-HR"/>
        </w:rPr>
      </w:pPr>
    </w:p>
    <w:p w14:paraId="0C223B30" w14:textId="5421C072" w:rsidR="00097C82" w:rsidRPr="00D84A60" w:rsidRDefault="00FD720F" w:rsidP="00097C82">
      <w:pPr>
        <w:spacing w:after="176" w:line="252" w:lineRule="auto"/>
        <w:ind w:right="4"/>
        <w:jc w:val="both"/>
        <w:rPr>
          <w:rFonts w:ascii="Times New Roman" w:hAnsi="Times New Roman"/>
          <w:b/>
          <w:i/>
          <w:sz w:val="24"/>
          <w:szCs w:val="24"/>
        </w:rPr>
      </w:pPr>
      <w:r>
        <w:rPr>
          <w:rFonts w:ascii="Times New Roman" w:hAnsi="Times New Roman"/>
          <w:b/>
          <w:i/>
          <w:sz w:val="24"/>
          <w:szCs w:val="24"/>
        </w:rPr>
        <w:t>A</w:t>
      </w:r>
      <w:r w:rsidR="00292891">
        <w:rPr>
          <w:rFonts w:ascii="Times New Roman" w:hAnsi="Times New Roman"/>
          <w:b/>
          <w:i/>
          <w:sz w:val="24"/>
          <w:szCs w:val="24"/>
        </w:rPr>
        <w:t xml:space="preserve">679078 </w:t>
      </w:r>
      <w:r w:rsidR="00097C82" w:rsidRPr="00D84A60">
        <w:rPr>
          <w:rFonts w:ascii="Times New Roman" w:hAnsi="Times New Roman"/>
          <w:b/>
          <w:i/>
          <w:sz w:val="24"/>
          <w:szCs w:val="24"/>
        </w:rPr>
        <w:t>EU projekti Sveučilišta u Zagrebu</w:t>
      </w:r>
      <w:r w:rsidR="002C2617" w:rsidRPr="00D84A60">
        <w:rPr>
          <w:rFonts w:ascii="Times New Roman" w:hAnsi="Times New Roman"/>
          <w:b/>
          <w:i/>
          <w:sz w:val="24"/>
          <w:szCs w:val="24"/>
        </w:rPr>
        <w:t xml:space="preserve"> Filozofski fakultet</w:t>
      </w:r>
      <w:r w:rsidR="00097C82" w:rsidRPr="00D84A60">
        <w:rPr>
          <w:rFonts w:ascii="Times New Roman" w:hAnsi="Times New Roman"/>
          <w:b/>
          <w:i/>
          <w:sz w:val="24"/>
          <w:szCs w:val="24"/>
        </w:rPr>
        <w:t xml:space="preserve"> (iz EV prihoda)</w:t>
      </w:r>
    </w:p>
    <w:p w14:paraId="326456A0" w14:textId="77777777" w:rsidR="006A529E" w:rsidRDefault="006A529E" w:rsidP="00097C82">
      <w:pPr>
        <w:spacing w:after="176" w:line="252" w:lineRule="auto"/>
        <w:ind w:left="326" w:right="4"/>
        <w:jc w:val="both"/>
        <w:rPr>
          <w:rFonts w:ascii="Times New Roman" w:hAnsi="Times New Roman"/>
          <w:sz w:val="24"/>
          <w:szCs w:val="24"/>
        </w:rPr>
      </w:pPr>
    </w:p>
    <w:p w14:paraId="18454C6D" w14:textId="2FC84DFB" w:rsidR="00097C82" w:rsidRPr="00D84A60" w:rsidRDefault="00097C82" w:rsidP="00097C82">
      <w:pPr>
        <w:spacing w:after="176" w:line="252" w:lineRule="auto"/>
        <w:ind w:left="326" w:right="4"/>
        <w:jc w:val="both"/>
        <w:rPr>
          <w:rFonts w:ascii="Times New Roman" w:hAnsi="Times New Roman"/>
          <w:sz w:val="24"/>
          <w:szCs w:val="24"/>
        </w:rPr>
      </w:pPr>
      <w:r w:rsidRPr="00D84A60">
        <w:rPr>
          <w:rFonts w:ascii="Times New Roman" w:hAnsi="Times New Roman"/>
          <w:sz w:val="24"/>
          <w:szCs w:val="24"/>
        </w:rPr>
        <w:t>Zakonske i druge pravne osnove</w:t>
      </w:r>
    </w:p>
    <w:p w14:paraId="3591A21D" w14:textId="77777777" w:rsidR="00097C82" w:rsidRPr="00D84A60" w:rsidRDefault="00097C82" w:rsidP="00097C82">
      <w:pPr>
        <w:spacing w:after="176" w:line="252" w:lineRule="auto"/>
        <w:ind w:left="326" w:right="4"/>
        <w:jc w:val="both"/>
        <w:rPr>
          <w:rFonts w:ascii="Times New Roman" w:hAnsi="Times New Roman"/>
          <w:sz w:val="24"/>
          <w:szCs w:val="24"/>
        </w:rPr>
      </w:pPr>
      <w:r w:rsidRPr="00D84A60">
        <w:rPr>
          <w:rFonts w:ascii="Times New Roman" w:hAnsi="Times New Roman"/>
          <w:sz w:val="24"/>
          <w:szCs w:val="24"/>
        </w:rPr>
        <w:t>- Zakon o znanstvenoj djelatnosti i visokom obrazovanju</w:t>
      </w:r>
    </w:p>
    <w:p w14:paraId="662EC016" w14:textId="088BE6FC" w:rsidR="00C13E8A" w:rsidRDefault="00097C82" w:rsidP="006A529E">
      <w:pPr>
        <w:spacing w:after="176" w:line="252" w:lineRule="auto"/>
        <w:ind w:left="326" w:right="4"/>
        <w:jc w:val="both"/>
        <w:rPr>
          <w:rFonts w:ascii="Times New Roman" w:hAnsi="Times New Roman"/>
          <w:sz w:val="24"/>
          <w:szCs w:val="24"/>
        </w:rPr>
      </w:pPr>
      <w:r w:rsidRPr="00D84A60">
        <w:rPr>
          <w:rFonts w:ascii="Times New Roman" w:hAnsi="Times New Roman"/>
          <w:sz w:val="24"/>
          <w:szCs w:val="24"/>
        </w:rPr>
        <w:t>- Ugovori o financiranju projekata</w:t>
      </w:r>
    </w:p>
    <w:p w14:paraId="705DD925" w14:textId="2A8C054D" w:rsidR="00097C82" w:rsidRDefault="003D041D" w:rsidP="00097C82">
      <w:pPr>
        <w:spacing w:after="176" w:line="252" w:lineRule="auto"/>
        <w:ind w:left="326" w:right="4"/>
        <w:jc w:val="both"/>
        <w:rPr>
          <w:rFonts w:ascii="Times New Roman" w:hAnsi="Times New Roman"/>
          <w:sz w:val="24"/>
          <w:szCs w:val="24"/>
        </w:rPr>
      </w:pPr>
      <w:r w:rsidRPr="00D84A60">
        <w:rPr>
          <w:rFonts w:ascii="Times New Roman" w:hAnsi="Times New Roman"/>
          <w:sz w:val="24"/>
          <w:szCs w:val="24"/>
        </w:rPr>
        <w:lastRenderedPageBreak/>
        <w:t>Ova a</w:t>
      </w:r>
      <w:r w:rsidR="00097C82" w:rsidRPr="00D84A60">
        <w:rPr>
          <w:rFonts w:ascii="Times New Roman" w:hAnsi="Times New Roman"/>
          <w:sz w:val="24"/>
          <w:szCs w:val="24"/>
        </w:rPr>
        <w:t xml:space="preserve">ktivnost se </w:t>
      </w:r>
      <w:r w:rsidR="00D33D24" w:rsidRPr="00D84A60">
        <w:rPr>
          <w:rFonts w:ascii="Times New Roman" w:hAnsi="Times New Roman"/>
          <w:sz w:val="24"/>
          <w:szCs w:val="24"/>
        </w:rPr>
        <w:t>sastoji od</w:t>
      </w:r>
      <w:r w:rsidR="00097C82" w:rsidRPr="00D84A60">
        <w:rPr>
          <w:rFonts w:ascii="Times New Roman" w:hAnsi="Times New Roman"/>
          <w:sz w:val="24"/>
          <w:szCs w:val="24"/>
        </w:rPr>
        <w:t xml:space="preserve"> slijedećih </w:t>
      </w:r>
      <w:r w:rsidR="00D33D24" w:rsidRPr="00D84A60">
        <w:rPr>
          <w:rFonts w:ascii="Times New Roman" w:hAnsi="Times New Roman"/>
          <w:sz w:val="24"/>
          <w:szCs w:val="24"/>
        </w:rPr>
        <w:t>p</w:t>
      </w:r>
      <w:r w:rsidR="00D84A60" w:rsidRPr="00D84A60">
        <w:rPr>
          <w:rFonts w:ascii="Times New Roman" w:hAnsi="Times New Roman"/>
          <w:sz w:val="24"/>
          <w:szCs w:val="24"/>
        </w:rPr>
        <w:t>r</w:t>
      </w:r>
      <w:r w:rsidR="00D33D24" w:rsidRPr="00D84A60">
        <w:rPr>
          <w:rFonts w:ascii="Times New Roman" w:hAnsi="Times New Roman"/>
          <w:sz w:val="24"/>
          <w:szCs w:val="24"/>
        </w:rPr>
        <w:t>ojekata</w:t>
      </w:r>
      <w:r w:rsidR="00097C82" w:rsidRPr="00D84A60">
        <w:rPr>
          <w:rFonts w:ascii="Times New Roman" w:hAnsi="Times New Roman"/>
          <w:sz w:val="24"/>
          <w:szCs w:val="24"/>
        </w:rPr>
        <w:t>:</w:t>
      </w:r>
    </w:p>
    <w:p w14:paraId="49D1F4D0" w14:textId="77777777" w:rsidR="00D84A60" w:rsidRPr="00D84A60" w:rsidRDefault="00D84A60" w:rsidP="00097C82">
      <w:pPr>
        <w:spacing w:after="176" w:line="252" w:lineRule="auto"/>
        <w:ind w:left="326" w:right="4"/>
        <w:jc w:val="both"/>
        <w:rPr>
          <w:rFonts w:ascii="Times New Roman" w:hAnsi="Times New Roman"/>
          <w:sz w:val="24"/>
          <w:szCs w:val="24"/>
        </w:rPr>
      </w:pPr>
    </w:p>
    <w:p w14:paraId="18C57782" w14:textId="72BE32BB" w:rsidR="00AF5FCF" w:rsidRPr="00AF5FCF" w:rsidRDefault="00AF5FCF" w:rsidP="00D84A60">
      <w:pPr>
        <w:spacing w:after="160" w:line="256" w:lineRule="auto"/>
        <w:rPr>
          <w:rFonts w:ascii="Times New Roman" w:eastAsia="Calibri" w:hAnsi="Times New Roman"/>
          <w:b/>
          <w:bCs/>
          <w:sz w:val="24"/>
          <w:szCs w:val="24"/>
        </w:rPr>
      </w:pPr>
      <w:r w:rsidRPr="00AF5FCF">
        <w:rPr>
          <w:rFonts w:ascii="Times New Roman" w:eastAsia="Calibri" w:hAnsi="Times New Roman"/>
          <w:b/>
          <w:bCs/>
          <w:sz w:val="24"/>
          <w:szCs w:val="24"/>
        </w:rPr>
        <w:t>Naziv projekta</w:t>
      </w:r>
      <w:r w:rsidRPr="00AF5FCF">
        <w:rPr>
          <w:rFonts w:ascii="Times New Roman" w:eastAsia="Calibri" w:hAnsi="Times New Roman"/>
          <w:sz w:val="24"/>
          <w:szCs w:val="24"/>
        </w:rPr>
        <w:t xml:space="preserve">: </w:t>
      </w:r>
      <w:r w:rsidRPr="00AF5FCF">
        <w:rPr>
          <w:rFonts w:ascii="Times New Roman" w:eastAsia="Calibri" w:hAnsi="Times New Roman"/>
          <w:b/>
          <w:bCs/>
          <w:sz w:val="24"/>
          <w:szCs w:val="24"/>
          <w:lang w:val="en-GB"/>
        </w:rPr>
        <w:t>CAPONEU - The Cartography of Political Novel in Europe</w:t>
      </w:r>
    </w:p>
    <w:p w14:paraId="6A867BE8"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lang w:val="en-GB"/>
        </w:rPr>
        <w:t>C</w:t>
      </w:r>
      <w:r w:rsidRPr="00AF5FCF">
        <w:rPr>
          <w:rFonts w:ascii="Times New Roman" w:eastAsia="Calibri" w:hAnsi="Times New Roman"/>
          <w:sz w:val="24"/>
          <w:szCs w:val="24"/>
        </w:rPr>
        <w:t xml:space="preserve">ilj </w:t>
      </w:r>
      <w:proofErr w:type="spellStart"/>
      <w:r w:rsidRPr="00AF5FCF">
        <w:rPr>
          <w:rFonts w:ascii="Times New Roman" w:eastAsia="Calibri" w:hAnsi="Times New Roman"/>
          <w:sz w:val="24"/>
          <w:szCs w:val="24"/>
          <w:lang w:val="en-GB"/>
        </w:rPr>
        <w:t>projekta</w:t>
      </w:r>
      <w:proofErr w:type="spellEnd"/>
      <w:r w:rsidRPr="00AF5FCF">
        <w:rPr>
          <w:rFonts w:ascii="Times New Roman" w:eastAsia="Calibri" w:hAnsi="Times New Roman"/>
          <w:sz w:val="24"/>
          <w:szCs w:val="24"/>
          <w:lang w:val="en-GB"/>
        </w:rPr>
        <w:t xml:space="preserve"> je </w:t>
      </w:r>
      <w:r w:rsidRPr="00AF5FCF">
        <w:rPr>
          <w:rFonts w:ascii="Times New Roman" w:eastAsia="Calibri" w:hAnsi="Times New Roman"/>
          <w:sz w:val="24"/>
          <w:szCs w:val="24"/>
        </w:rPr>
        <w:t xml:space="preserve">ispitati </w:t>
      </w:r>
      <w:proofErr w:type="spellStart"/>
      <w:r w:rsidRPr="00AF5FCF">
        <w:rPr>
          <w:rFonts w:ascii="Times New Roman" w:eastAsia="Calibri" w:hAnsi="Times New Roman"/>
          <w:sz w:val="24"/>
          <w:szCs w:val="24"/>
          <w:lang w:val="en-GB"/>
        </w:rPr>
        <w:t>na</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koje</w:t>
      </w:r>
      <w:proofErr w:type="spellEnd"/>
      <w:r w:rsidRPr="00AF5FCF">
        <w:rPr>
          <w:rFonts w:ascii="Times New Roman" w:eastAsia="Calibri" w:hAnsi="Times New Roman"/>
          <w:sz w:val="24"/>
          <w:szCs w:val="24"/>
          <w:lang w:val="en-GB"/>
        </w:rPr>
        <w:t xml:space="preserve"> se </w:t>
      </w:r>
      <w:proofErr w:type="spellStart"/>
      <w:r w:rsidRPr="00AF5FCF">
        <w:rPr>
          <w:rFonts w:ascii="Times New Roman" w:eastAsia="Calibri" w:hAnsi="Times New Roman"/>
          <w:sz w:val="24"/>
          <w:szCs w:val="24"/>
          <w:lang w:val="en-GB"/>
        </w:rPr>
        <w:t>načine</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u različitim nacionalnim i kulturnim kontekstima</w:t>
      </w:r>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ljudi</w:t>
      </w:r>
      <w:proofErr w:type="spellEnd"/>
      <w:r w:rsidRPr="00AF5FCF">
        <w:rPr>
          <w:rFonts w:ascii="Times New Roman" w:eastAsia="Calibri" w:hAnsi="Times New Roman"/>
          <w:sz w:val="24"/>
          <w:szCs w:val="24"/>
        </w:rPr>
        <w:t xml:space="preserve"> bave suvremenim političkim pitanjima </w:t>
      </w:r>
      <w:proofErr w:type="spellStart"/>
      <w:r w:rsidRPr="00AF5FCF">
        <w:rPr>
          <w:rFonts w:ascii="Times New Roman" w:eastAsia="Calibri" w:hAnsi="Times New Roman"/>
          <w:sz w:val="24"/>
          <w:szCs w:val="24"/>
          <w:lang w:val="en-GB"/>
        </w:rPr>
        <w:t>te</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kako</w:t>
      </w:r>
      <w:proofErr w:type="spellEnd"/>
      <w:r w:rsidRPr="00AF5FCF">
        <w:rPr>
          <w:rFonts w:ascii="Times New Roman" w:eastAsia="Calibri" w:hAnsi="Times New Roman"/>
          <w:sz w:val="24"/>
          <w:szCs w:val="24"/>
        </w:rPr>
        <w:t xml:space="preserve"> u</w:t>
      </w:r>
      <w:proofErr w:type="spellStart"/>
      <w:r w:rsidRPr="00AF5FCF">
        <w:rPr>
          <w:rFonts w:ascii="Times New Roman" w:eastAsia="Calibri" w:hAnsi="Times New Roman"/>
          <w:sz w:val="24"/>
          <w:szCs w:val="24"/>
          <w:lang w:val="en-GB"/>
        </w:rPr>
        <w:t>ključuju</w:t>
      </w:r>
      <w:proofErr w:type="spellEnd"/>
      <w:r w:rsidRPr="00AF5FCF">
        <w:rPr>
          <w:rFonts w:ascii="Times New Roman" w:eastAsia="Calibri" w:hAnsi="Times New Roman"/>
          <w:sz w:val="24"/>
          <w:szCs w:val="24"/>
          <w:lang w:val="en-GB"/>
        </w:rPr>
        <w:t xml:space="preserve"> u</w:t>
      </w:r>
      <w:r w:rsidRPr="00AF5FCF">
        <w:rPr>
          <w:rFonts w:ascii="Times New Roman" w:eastAsia="Calibri" w:hAnsi="Times New Roman"/>
          <w:sz w:val="24"/>
          <w:szCs w:val="24"/>
        </w:rPr>
        <w:t xml:space="preserve"> oblikovanj</w:t>
      </w:r>
      <w:r w:rsidRPr="00AF5FCF">
        <w:rPr>
          <w:rFonts w:ascii="Times New Roman" w:eastAsia="Calibri" w:hAnsi="Times New Roman"/>
          <w:sz w:val="24"/>
          <w:szCs w:val="24"/>
          <w:lang w:val="en-GB"/>
        </w:rPr>
        <w:t>e</w:t>
      </w:r>
      <w:r w:rsidRPr="00AF5FCF">
        <w:rPr>
          <w:rFonts w:ascii="Times New Roman" w:eastAsia="Calibri" w:hAnsi="Times New Roman"/>
          <w:sz w:val="24"/>
          <w:szCs w:val="24"/>
        </w:rPr>
        <w:t xml:space="preserve"> europskih društava i politike u 21. stoljeću. To se r</w:t>
      </w:r>
      <w:proofErr w:type="spellStart"/>
      <w:r w:rsidRPr="00AF5FCF">
        <w:rPr>
          <w:rFonts w:ascii="Times New Roman" w:eastAsia="Calibri" w:hAnsi="Times New Roman"/>
          <w:sz w:val="24"/>
          <w:szCs w:val="24"/>
          <w:lang w:val="en-GB"/>
        </w:rPr>
        <w:t>azmatrati</w:t>
      </w:r>
      <w:proofErr w:type="spellEnd"/>
      <w:r w:rsidRPr="00AF5FCF">
        <w:rPr>
          <w:rFonts w:ascii="Times New Roman" w:eastAsia="Calibri" w:hAnsi="Times New Roman"/>
          <w:sz w:val="24"/>
          <w:szCs w:val="24"/>
        </w:rPr>
        <w:t xml:space="preserve"> kroz prizmu </w:t>
      </w:r>
      <w:proofErr w:type="spellStart"/>
      <w:r w:rsidRPr="00AF5FCF">
        <w:rPr>
          <w:rFonts w:ascii="Times New Roman" w:eastAsia="Calibri" w:hAnsi="Times New Roman"/>
          <w:sz w:val="24"/>
          <w:szCs w:val="24"/>
          <w:lang w:val="en-GB"/>
        </w:rPr>
        <w:t>političkog</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romana</w:t>
      </w:r>
      <w:proofErr w:type="spellEnd"/>
      <w:r w:rsidRPr="00AF5FCF">
        <w:rPr>
          <w:rFonts w:ascii="Times New Roman" w:eastAsia="Calibri" w:hAnsi="Times New Roman"/>
          <w:sz w:val="24"/>
          <w:szCs w:val="24"/>
        </w:rPr>
        <w:t xml:space="preserve"> u Europi (ili PNE), koji </w:t>
      </w:r>
      <w:proofErr w:type="spellStart"/>
      <w:r w:rsidRPr="00AF5FCF">
        <w:rPr>
          <w:rFonts w:ascii="Times New Roman" w:eastAsia="Calibri" w:hAnsi="Times New Roman"/>
          <w:sz w:val="24"/>
          <w:szCs w:val="24"/>
          <w:lang w:val="en-GB"/>
        </w:rPr>
        <w:t>postupno</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dobiva na značaju ne samo u strogo ograničenim književnim krugovima</w:t>
      </w:r>
      <w:r w:rsidRPr="00AF5FCF">
        <w:rPr>
          <w:rFonts w:ascii="Times New Roman" w:eastAsia="Calibri" w:hAnsi="Times New Roman"/>
          <w:sz w:val="24"/>
          <w:szCs w:val="24"/>
          <w:lang w:val="en-GB"/>
        </w:rPr>
        <w:t>,</w:t>
      </w:r>
      <w:r w:rsidRPr="00AF5FCF">
        <w:rPr>
          <w:rFonts w:ascii="Times New Roman" w:eastAsia="Calibri" w:hAnsi="Times New Roman"/>
          <w:sz w:val="24"/>
          <w:szCs w:val="24"/>
        </w:rPr>
        <w:t xml:space="preserve"> nego</w:t>
      </w:r>
      <w:r w:rsidRPr="00AF5FCF">
        <w:rPr>
          <w:rFonts w:ascii="Times New Roman" w:eastAsia="Calibri" w:hAnsi="Times New Roman"/>
          <w:sz w:val="24"/>
          <w:szCs w:val="24"/>
          <w:lang w:val="en-GB"/>
        </w:rPr>
        <w:t xml:space="preserve"> i</w:t>
      </w:r>
      <w:r w:rsidRPr="00AF5FCF">
        <w:rPr>
          <w:rFonts w:ascii="Times New Roman" w:eastAsia="Calibri" w:hAnsi="Times New Roman"/>
          <w:sz w:val="24"/>
          <w:szCs w:val="24"/>
        </w:rPr>
        <w:t xml:space="preserve"> u europskim društvima općenito. S obzirom na ovu novu relevantnost političkog pisanja, CAPONEU-ov</w:t>
      </w:r>
      <w:r w:rsidRPr="00AF5FCF">
        <w:rPr>
          <w:rFonts w:ascii="Times New Roman" w:eastAsia="Calibri" w:hAnsi="Times New Roman"/>
          <w:sz w:val="24"/>
          <w:szCs w:val="24"/>
          <w:lang w:val="en-GB"/>
        </w:rPr>
        <w:t xml:space="preserve"> je</w:t>
      </w:r>
      <w:r w:rsidRPr="00AF5FCF">
        <w:rPr>
          <w:rFonts w:ascii="Times New Roman" w:eastAsia="Calibri" w:hAnsi="Times New Roman"/>
          <w:sz w:val="24"/>
          <w:szCs w:val="24"/>
        </w:rPr>
        <w:t xml:space="preserve"> cilj </w:t>
      </w:r>
      <w:proofErr w:type="spellStart"/>
      <w:r w:rsidRPr="00AF5FCF">
        <w:rPr>
          <w:rFonts w:ascii="Times New Roman" w:eastAsia="Calibri" w:hAnsi="Times New Roman"/>
          <w:sz w:val="24"/>
          <w:szCs w:val="24"/>
          <w:lang w:val="en-GB"/>
        </w:rPr>
        <w:t>istodobno</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razmotriti</w:t>
      </w:r>
      <w:proofErr w:type="spellEnd"/>
      <w:r w:rsidRPr="00AF5FCF">
        <w:rPr>
          <w:rFonts w:ascii="Times New Roman" w:eastAsia="Calibri" w:hAnsi="Times New Roman"/>
          <w:sz w:val="24"/>
          <w:szCs w:val="24"/>
        </w:rPr>
        <w:t xml:space="preserve"> politički roman kao važan element europske kulturne baštine</w:t>
      </w:r>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ali</w:t>
      </w:r>
      <w:proofErr w:type="spellEnd"/>
      <w:r w:rsidRPr="00AF5FCF">
        <w:rPr>
          <w:rFonts w:ascii="Times New Roman" w:eastAsia="Calibri" w:hAnsi="Times New Roman"/>
          <w:sz w:val="24"/>
          <w:szCs w:val="24"/>
        </w:rPr>
        <w:t xml:space="preserve"> i kao alat za izgradnju</w:t>
      </w:r>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suvremene</w:t>
      </w:r>
      <w:proofErr w:type="spellEnd"/>
      <w:r w:rsidRPr="00AF5FCF">
        <w:rPr>
          <w:rFonts w:ascii="Times New Roman" w:eastAsia="Calibri" w:hAnsi="Times New Roman"/>
          <w:sz w:val="24"/>
          <w:szCs w:val="24"/>
        </w:rPr>
        <w:t xml:space="preserve"> zajednice. Konzorcij okuplja interdisciplinarni istraživački tim koji </w:t>
      </w:r>
      <w:proofErr w:type="spellStart"/>
      <w:r w:rsidRPr="00AF5FCF">
        <w:rPr>
          <w:rFonts w:ascii="Times New Roman" w:eastAsia="Calibri" w:hAnsi="Times New Roman"/>
          <w:sz w:val="24"/>
          <w:szCs w:val="24"/>
          <w:lang w:val="en-GB"/>
        </w:rPr>
        <w:t>neće</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biti</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usredotočen</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isključivo</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na</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bogat</w:t>
      </w:r>
      <w:r w:rsidRPr="00AF5FCF">
        <w:rPr>
          <w:rFonts w:ascii="Times New Roman" w:eastAsia="Calibri" w:hAnsi="Times New Roman"/>
          <w:sz w:val="24"/>
          <w:szCs w:val="24"/>
          <w:lang w:val="en-GB"/>
        </w:rPr>
        <w:t>u</w:t>
      </w:r>
      <w:r w:rsidRPr="00AF5FCF">
        <w:rPr>
          <w:rFonts w:ascii="Times New Roman" w:eastAsia="Calibri" w:hAnsi="Times New Roman"/>
          <w:sz w:val="24"/>
          <w:szCs w:val="24"/>
        </w:rPr>
        <w:t xml:space="preserve"> književn</w:t>
      </w:r>
      <w:r w:rsidRPr="00AF5FCF">
        <w:rPr>
          <w:rFonts w:ascii="Times New Roman" w:eastAsia="Calibri" w:hAnsi="Times New Roman"/>
          <w:sz w:val="24"/>
          <w:szCs w:val="24"/>
          <w:lang w:val="en-GB"/>
        </w:rPr>
        <w:t>u</w:t>
      </w:r>
      <w:r w:rsidRPr="00AF5FCF">
        <w:rPr>
          <w:rFonts w:ascii="Times New Roman" w:eastAsia="Calibri" w:hAnsi="Times New Roman"/>
          <w:sz w:val="24"/>
          <w:szCs w:val="24"/>
        </w:rPr>
        <w:t xml:space="preserve"> baštin</w:t>
      </w:r>
      <w:r w:rsidRPr="00AF5FCF">
        <w:rPr>
          <w:rFonts w:ascii="Times New Roman" w:eastAsia="Calibri" w:hAnsi="Times New Roman"/>
          <w:sz w:val="24"/>
          <w:szCs w:val="24"/>
          <w:lang w:val="en-GB"/>
        </w:rPr>
        <w:t>u</w:t>
      </w:r>
      <w:r w:rsidRPr="00AF5FCF">
        <w:rPr>
          <w:rFonts w:ascii="Times New Roman" w:eastAsia="Calibri" w:hAnsi="Times New Roman"/>
          <w:sz w:val="24"/>
          <w:szCs w:val="24"/>
        </w:rPr>
        <w:t xml:space="preserve"> 20. stoljeća</w:t>
      </w:r>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nego</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će</w:t>
      </w:r>
      <w:proofErr w:type="spellEnd"/>
      <w:r w:rsidRPr="00AF5FCF">
        <w:rPr>
          <w:rFonts w:ascii="Times New Roman" w:eastAsia="Calibri" w:hAnsi="Times New Roman"/>
          <w:sz w:val="24"/>
          <w:szCs w:val="24"/>
        </w:rPr>
        <w:t xml:space="preserve"> (kroz suradnju sa širokim spektrom </w:t>
      </w:r>
      <w:proofErr w:type="spellStart"/>
      <w:r w:rsidRPr="00AF5FCF">
        <w:rPr>
          <w:rFonts w:ascii="Times New Roman" w:eastAsia="Calibri" w:hAnsi="Times New Roman"/>
          <w:sz w:val="24"/>
          <w:szCs w:val="24"/>
          <w:lang w:val="en-GB"/>
        </w:rPr>
        <w:t>društvenih</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aktera) u</w:t>
      </w:r>
      <w:proofErr w:type="spellStart"/>
      <w:r w:rsidRPr="00AF5FCF">
        <w:rPr>
          <w:rFonts w:ascii="Times New Roman" w:eastAsia="Calibri" w:hAnsi="Times New Roman"/>
          <w:sz w:val="24"/>
          <w:szCs w:val="24"/>
          <w:lang w:val="en-GB"/>
        </w:rPr>
        <w:t>kazati</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na</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relevantn</w:t>
      </w:r>
      <w:proofErr w:type="spellStart"/>
      <w:r w:rsidRPr="00AF5FCF">
        <w:rPr>
          <w:rFonts w:ascii="Times New Roman" w:eastAsia="Calibri" w:hAnsi="Times New Roman"/>
          <w:sz w:val="24"/>
          <w:szCs w:val="24"/>
          <w:lang w:val="en-GB"/>
        </w:rPr>
        <w:t>ost</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političkog</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romana</w:t>
      </w:r>
      <w:proofErr w:type="spellEnd"/>
      <w:r w:rsidRPr="00AF5FCF">
        <w:rPr>
          <w:rFonts w:ascii="Times New Roman" w:eastAsia="Calibri" w:hAnsi="Times New Roman"/>
          <w:sz w:val="24"/>
          <w:szCs w:val="24"/>
        </w:rPr>
        <w:t xml:space="preserve"> za našu sadašnjost. Svjesni da je europski projekt zadnjih desetljeća destabiliziran </w:t>
      </w:r>
      <w:proofErr w:type="spellStart"/>
      <w:r w:rsidRPr="00AF5FCF">
        <w:rPr>
          <w:rFonts w:ascii="Times New Roman" w:eastAsia="Calibri" w:hAnsi="Times New Roman"/>
          <w:sz w:val="24"/>
          <w:szCs w:val="24"/>
          <w:lang w:val="en-GB"/>
        </w:rPr>
        <w:t>različitim</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krizama (ekonomska i politička kriza, migracije, pandemije COVID-19 i klimatsk</w:t>
      </w:r>
      <w:r w:rsidRPr="00AF5FCF">
        <w:rPr>
          <w:rFonts w:ascii="Times New Roman" w:eastAsia="Calibri" w:hAnsi="Times New Roman"/>
          <w:sz w:val="24"/>
          <w:szCs w:val="24"/>
          <w:lang w:val="en-GB"/>
        </w:rPr>
        <w:t>e</w:t>
      </w:r>
      <w:r w:rsidRPr="00AF5FCF">
        <w:rPr>
          <w:rFonts w:ascii="Times New Roman" w:eastAsia="Calibri" w:hAnsi="Times New Roman"/>
          <w:sz w:val="24"/>
          <w:szCs w:val="24"/>
        </w:rPr>
        <w:t xml:space="preserve"> promjen</w:t>
      </w:r>
      <w:r w:rsidRPr="00AF5FCF">
        <w:rPr>
          <w:rFonts w:ascii="Times New Roman" w:eastAsia="Calibri" w:hAnsi="Times New Roman"/>
          <w:sz w:val="24"/>
          <w:szCs w:val="24"/>
          <w:lang w:val="en-GB"/>
        </w:rPr>
        <w:t>e</w:t>
      </w:r>
      <w:r w:rsidRPr="00AF5FCF">
        <w:rPr>
          <w:rFonts w:ascii="Times New Roman" w:eastAsia="Calibri" w:hAnsi="Times New Roman"/>
          <w:sz w:val="24"/>
          <w:szCs w:val="24"/>
        </w:rPr>
        <w:t xml:space="preserve">), </w:t>
      </w:r>
      <w:proofErr w:type="spellStart"/>
      <w:r w:rsidRPr="00AF5FCF">
        <w:rPr>
          <w:rFonts w:ascii="Times New Roman" w:eastAsia="Calibri" w:hAnsi="Times New Roman"/>
          <w:sz w:val="24"/>
          <w:szCs w:val="24"/>
          <w:lang w:val="en-GB"/>
        </w:rPr>
        <w:t>ključno</w:t>
      </w:r>
      <w:proofErr w:type="spellEnd"/>
      <w:r w:rsidRPr="00AF5FCF">
        <w:rPr>
          <w:rFonts w:ascii="Times New Roman" w:eastAsia="Calibri" w:hAnsi="Times New Roman"/>
          <w:sz w:val="24"/>
          <w:szCs w:val="24"/>
          <w:lang w:val="en-GB"/>
        </w:rPr>
        <w:t xml:space="preserve"> je </w:t>
      </w:r>
      <w:r w:rsidRPr="00AF5FCF">
        <w:rPr>
          <w:rFonts w:ascii="Times New Roman" w:eastAsia="Calibri" w:hAnsi="Times New Roman"/>
          <w:sz w:val="24"/>
          <w:szCs w:val="24"/>
        </w:rPr>
        <w:t xml:space="preserve">pitanje </w:t>
      </w:r>
      <w:proofErr w:type="spellStart"/>
      <w:r w:rsidRPr="00AF5FCF">
        <w:rPr>
          <w:rFonts w:ascii="Times New Roman" w:eastAsia="Calibri" w:hAnsi="Times New Roman"/>
          <w:sz w:val="24"/>
          <w:szCs w:val="24"/>
          <w:lang w:val="en-GB"/>
        </w:rPr>
        <w:t>na</w:t>
      </w:r>
      <w:proofErr w:type="spellEnd"/>
      <w:r w:rsidRPr="00AF5FCF">
        <w:rPr>
          <w:rFonts w:ascii="Times New Roman" w:eastAsia="Calibri" w:hAnsi="Times New Roman"/>
          <w:sz w:val="24"/>
          <w:szCs w:val="24"/>
          <w:lang w:val="en-GB"/>
        </w:rPr>
        <w:t xml:space="preserve"> koji se </w:t>
      </w:r>
      <w:proofErr w:type="spellStart"/>
      <w:r w:rsidRPr="00AF5FCF">
        <w:rPr>
          <w:rFonts w:ascii="Times New Roman" w:eastAsia="Calibri" w:hAnsi="Times New Roman"/>
          <w:sz w:val="24"/>
          <w:szCs w:val="24"/>
          <w:lang w:val="en-GB"/>
        </w:rPr>
        <w:t>način</w:t>
      </w:r>
      <w:proofErr w:type="spellEnd"/>
      <w:r w:rsidRPr="00AF5FCF">
        <w:rPr>
          <w:rFonts w:ascii="Times New Roman" w:eastAsia="Calibri" w:hAnsi="Times New Roman"/>
          <w:sz w:val="24"/>
          <w:szCs w:val="24"/>
          <w:lang w:val="en-GB"/>
        </w:rPr>
        <w:t xml:space="preserve"> </w:t>
      </w:r>
      <w:r w:rsidRPr="00AF5FCF">
        <w:rPr>
          <w:rFonts w:ascii="Times New Roman" w:eastAsia="Calibri" w:hAnsi="Times New Roman"/>
          <w:sz w:val="24"/>
          <w:szCs w:val="24"/>
        </w:rPr>
        <w:t xml:space="preserve">europsko nasljeđe </w:t>
      </w:r>
      <w:proofErr w:type="spellStart"/>
      <w:r w:rsidRPr="00AF5FCF">
        <w:rPr>
          <w:rFonts w:ascii="Times New Roman" w:eastAsia="Calibri" w:hAnsi="Times New Roman"/>
          <w:sz w:val="24"/>
          <w:szCs w:val="24"/>
          <w:lang w:val="en-GB"/>
        </w:rPr>
        <w:t>političkog</w:t>
      </w:r>
      <w:proofErr w:type="spellEnd"/>
      <w:r w:rsidRPr="00AF5FCF">
        <w:rPr>
          <w:rFonts w:ascii="Times New Roman" w:eastAsia="Calibri" w:hAnsi="Times New Roman"/>
          <w:sz w:val="24"/>
          <w:szCs w:val="24"/>
          <w:lang w:val="en-GB"/>
        </w:rPr>
        <w:t xml:space="preserve"> </w:t>
      </w:r>
      <w:proofErr w:type="spellStart"/>
      <w:r w:rsidRPr="00AF5FCF">
        <w:rPr>
          <w:rFonts w:ascii="Times New Roman" w:eastAsia="Calibri" w:hAnsi="Times New Roman"/>
          <w:sz w:val="24"/>
          <w:szCs w:val="24"/>
          <w:lang w:val="en-GB"/>
        </w:rPr>
        <w:t>romana</w:t>
      </w:r>
      <w:proofErr w:type="spellEnd"/>
      <w:r w:rsidRPr="00AF5FCF">
        <w:rPr>
          <w:rFonts w:ascii="Times New Roman" w:eastAsia="Calibri" w:hAnsi="Times New Roman"/>
          <w:sz w:val="24"/>
          <w:szCs w:val="24"/>
        </w:rPr>
        <w:t xml:space="preserve"> može aktiv</w:t>
      </w:r>
      <w:proofErr w:type="spellStart"/>
      <w:r w:rsidRPr="00AF5FCF">
        <w:rPr>
          <w:rFonts w:ascii="Times New Roman" w:eastAsia="Calibri" w:hAnsi="Times New Roman"/>
          <w:sz w:val="24"/>
          <w:szCs w:val="24"/>
          <w:lang w:val="en-GB"/>
        </w:rPr>
        <w:t>irati</w:t>
      </w:r>
      <w:proofErr w:type="spellEnd"/>
      <w:r w:rsidRPr="00AF5FCF">
        <w:rPr>
          <w:rFonts w:ascii="Times New Roman" w:eastAsia="Calibri" w:hAnsi="Times New Roman"/>
          <w:sz w:val="24"/>
          <w:szCs w:val="24"/>
        </w:rPr>
        <w:t xml:space="preserve"> u jačanj</w:t>
      </w:r>
      <w:r w:rsidRPr="00AF5FCF">
        <w:rPr>
          <w:rFonts w:ascii="Times New Roman" w:eastAsia="Calibri" w:hAnsi="Times New Roman"/>
          <w:sz w:val="24"/>
          <w:szCs w:val="24"/>
          <w:lang w:val="en-GB"/>
        </w:rPr>
        <w:t>u</w:t>
      </w:r>
      <w:r w:rsidRPr="00AF5FCF">
        <w:rPr>
          <w:rFonts w:ascii="Times New Roman" w:eastAsia="Calibri" w:hAnsi="Times New Roman"/>
          <w:sz w:val="24"/>
          <w:szCs w:val="24"/>
        </w:rPr>
        <w:t xml:space="preserve"> otpornosti europskih društava na krize. </w:t>
      </w:r>
    </w:p>
    <w:p w14:paraId="444C70A3" w14:textId="77777777" w:rsidR="00AF5FCF" w:rsidRPr="00AF5FCF" w:rsidRDefault="00AF5FCF" w:rsidP="00AF5FCF">
      <w:pPr>
        <w:spacing w:after="160" w:line="256" w:lineRule="auto"/>
        <w:jc w:val="both"/>
        <w:rPr>
          <w:rFonts w:ascii="Times New Roman" w:eastAsia="Calibri" w:hAnsi="Times New Roman"/>
          <w:sz w:val="24"/>
          <w:szCs w:val="24"/>
        </w:rPr>
      </w:pPr>
    </w:p>
    <w:p w14:paraId="4389F2A2"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CRODO-EDMO (Croatian Digital Observatory)</w:t>
      </w:r>
    </w:p>
    <w:p w14:paraId="67C47551"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Projekt će uključivati multidisciplinarna istraživanja vezano uz načine širenja dezinformacija, provjeru učinkovitosti mjera koje poduzimaju platforme za njihovo suzbijanje, razvoj posebnih alata za pravovremenu detekciju dezinformacija, praćenje utjecaj dezinformacija na demokratske procese. Nadalje, kroz projekt će biti provedene kampanjama medijske pismenosti kako bi se podigla javna svijest o štetnosti dezinformacija i osnažili građani i mediji. Projekt će koordinirati Sveučilište u Dubrovniku, a uključeni su Agence France-Presse (AFP), XWiki SAS, Adria News Croatia (N1), Fakultet političkih znanosti i novinarstva Sveučilišta u Zagrebu (FPZG), Fakultet elektrotehnike i računarstva Sveučilišta u Zagrebu (FER), Filozofski fakultet Sveučilišta u Zagrebu, GONG i Faktograf.hr.</w:t>
      </w:r>
    </w:p>
    <w:p w14:paraId="76D582E8"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 xml:space="preserve"> </w:t>
      </w:r>
    </w:p>
    <w:p w14:paraId="780C005B"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b/>
          <w:bCs/>
          <w:sz w:val="24"/>
          <w:szCs w:val="24"/>
        </w:rPr>
        <w:t xml:space="preserve">Naziv projekta: </w:t>
      </w:r>
      <w:r w:rsidRPr="00AF5FCF">
        <w:rPr>
          <w:rFonts w:ascii="Times New Roman" w:eastAsia="Calibri" w:hAnsi="Times New Roman"/>
          <w:b/>
          <w:bCs/>
          <w:sz w:val="24"/>
          <w:szCs w:val="24"/>
          <w:lang w:val="en-US"/>
        </w:rPr>
        <w:t>Cross-lingual Event-centric Open Analytics Research Academy (CLEOPATRA)</w:t>
      </w:r>
    </w:p>
    <w:p w14:paraId="01853F94"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Projekt CLEOPATRA f</w:t>
      </w:r>
      <w:proofErr w:type="spellStart"/>
      <w:r w:rsidRPr="00AF5FCF">
        <w:rPr>
          <w:rFonts w:ascii="Times New Roman" w:eastAsia="Calibri" w:hAnsi="Times New Roman"/>
          <w:sz w:val="24"/>
          <w:szCs w:val="24"/>
          <w:lang w:val="en-US"/>
        </w:rPr>
        <w:t>inanciran</w:t>
      </w:r>
      <w:proofErr w:type="spellEnd"/>
      <w:r w:rsidRPr="00AF5FCF">
        <w:rPr>
          <w:rFonts w:ascii="Times New Roman" w:eastAsia="Calibri" w:hAnsi="Times New Roman"/>
          <w:sz w:val="24"/>
          <w:szCs w:val="24"/>
          <w:lang w:val="en-US" w:bidi="ta-IN"/>
        </w:rPr>
        <w:t xml:space="preserve"> </w:t>
      </w:r>
      <w:r w:rsidRPr="00AF5FCF">
        <w:rPr>
          <w:rFonts w:ascii="Times New Roman" w:eastAsia="Calibri" w:hAnsi="Times New Roman"/>
          <w:sz w:val="24"/>
          <w:szCs w:val="24"/>
        </w:rPr>
        <w:t>je</w:t>
      </w:r>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iz</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istraživačkog</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inovacijskog</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programa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Europske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unije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Obzor</w:t>
      </w:r>
      <w:proofErr w:type="spellEnd"/>
      <w:r w:rsidRPr="00AF5FCF">
        <w:rPr>
          <w:rFonts w:ascii="Times New Roman" w:eastAsia="Calibri" w:hAnsi="Times New Roman"/>
          <w:sz w:val="24"/>
          <w:szCs w:val="24"/>
          <w:lang w:val="en-US"/>
        </w:rPr>
        <w:t xml:space="preserve"> 2020. </w:t>
      </w:r>
      <w:proofErr w:type="spellStart"/>
      <w:r w:rsidRPr="00AF5FCF">
        <w:rPr>
          <w:rFonts w:ascii="Times New Roman" w:eastAsia="Calibri" w:hAnsi="Times New Roman"/>
          <w:sz w:val="24"/>
          <w:szCs w:val="24"/>
          <w:lang w:val="en-US"/>
        </w:rPr>
        <w:t>kao</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inovativna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mreža</w:t>
      </w:r>
      <w:proofErr w:type="spellEnd"/>
      <w:r w:rsidRPr="00AF5FCF">
        <w:rPr>
          <w:rFonts w:ascii="Times New Roman" w:eastAsia="Calibri" w:hAnsi="Times New Roman"/>
          <w:sz w:val="24"/>
          <w:szCs w:val="24"/>
          <w:lang w:val="en-US"/>
        </w:rPr>
        <w:t xml:space="preserve"> za </w:t>
      </w:r>
      <w:proofErr w:type="spellStart"/>
      <w:r w:rsidRPr="00AF5FCF">
        <w:rPr>
          <w:rFonts w:ascii="Times New Roman" w:eastAsia="Calibri" w:hAnsi="Times New Roman"/>
          <w:sz w:val="24"/>
          <w:szCs w:val="24"/>
          <w:lang w:val="en-US"/>
        </w:rPr>
        <w:t>osposobljavanje</w:t>
      </w:r>
      <w:proofErr w:type="spellEnd"/>
      <w:r w:rsidRPr="00AF5FCF">
        <w:rPr>
          <w:rFonts w:ascii="Times New Roman" w:eastAsia="Calibri" w:hAnsi="Times New Roman"/>
          <w:sz w:val="24"/>
          <w:szCs w:val="24"/>
          <w:lang w:val="en-US"/>
        </w:rPr>
        <w:t xml:space="preserve"> u </w:t>
      </w:r>
      <w:proofErr w:type="spellStart"/>
      <w:r w:rsidRPr="00AF5FCF">
        <w:rPr>
          <w:rFonts w:ascii="Times New Roman" w:eastAsia="Calibri" w:hAnsi="Times New Roman"/>
          <w:sz w:val="24"/>
          <w:szCs w:val="24"/>
          <w:lang w:val="en-US"/>
        </w:rPr>
        <w:t>okviru</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akcija</w:t>
      </w:r>
      <w:proofErr w:type="spellEnd"/>
      <w:r w:rsidRPr="00AF5FCF">
        <w:rPr>
          <w:rFonts w:ascii="Times New Roman" w:eastAsia="Calibri" w:hAnsi="Times New Roman"/>
          <w:sz w:val="24"/>
          <w:szCs w:val="24"/>
          <w:lang w:val="en-US"/>
        </w:rPr>
        <w:t xml:space="preserve"> Marie </w:t>
      </w:r>
      <w:proofErr w:type="spellStart"/>
      <w:r w:rsidRPr="00AF5FCF">
        <w:rPr>
          <w:rFonts w:ascii="Times New Roman" w:eastAsia="Calibri" w:hAnsi="Times New Roman"/>
          <w:sz w:val="24"/>
          <w:szCs w:val="24"/>
          <w:lang w:val="en-US"/>
        </w:rPr>
        <w:t>Skłodowska</w:t>
      </w:r>
      <w:proofErr w:type="spellEnd"/>
      <w:r w:rsidRPr="00AF5FCF">
        <w:rPr>
          <w:rFonts w:ascii="Times New Roman" w:eastAsia="Calibri" w:hAnsi="Times New Roman"/>
          <w:sz w:val="24"/>
          <w:szCs w:val="24"/>
          <w:lang w:val="en-US"/>
        </w:rPr>
        <w:t>-Curie br. 812997.</w:t>
      </w:r>
      <w:r w:rsidRPr="00AF5FCF">
        <w:rPr>
          <w:rFonts w:ascii="Times New Roman" w:eastAsia="Calibri" w:hAnsi="Times New Roman"/>
          <w:sz w:val="24"/>
          <w:szCs w:val="24"/>
          <w:lang w:val="en-US" w:bidi="ta-IN"/>
        </w:rPr>
        <w:t xml:space="preserve"> </w:t>
      </w:r>
      <w:r w:rsidRPr="00AF5FCF">
        <w:rPr>
          <w:rFonts w:ascii="Times New Roman" w:eastAsia="Calibri" w:hAnsi="Times New Roman"/>
          <w:sz w:val="24"/>
          <w:szCs w:val="24"/>
        </w:rPr>
        <w:t xml:space="preserve">Na projektu, koji okuplja </w:t>
      </w:r>
      <w:r w:rsidRPr="00AF5FCF">
        <w:rPr>
          <w:rFonts w:ascii="Times New Roman" w:eastAsia="Calibri" w:hAnsi="Times New Roman"/>
          <w:sz w:val="24"/>
          <w:szCs w:val="24"/>
          <w:cs/>
          <w:lang w:bidi="ta-IN"/>
        </w:rPr>
        <w:t xml:space="preserve">9 </w:t>
      </w:r>
      <w:r w:rsidRPr="00AF5FCF">
        <w:rPr>
          <w:rFonts w:ascii="Times New Roman" w:eastAsia="Calibri" w:hAnsi="Times New Roman"/>
          <w:sz w:val="24"/>
          <w:szCs w:val="24"/>
        </w:rPr>
        <w:t>akademskih partnera iz Njemačke, Slovenije,</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 xml:space="preserve">Hrvatske, Nizozemske i UK-a, zaposleno je </w:t>
      </w:r>
      <w:r w:rsidRPr="00AF5FCF">
        <w:rPr>
          <w:rFonts w:ascii="Times New Roman" w:eastAsia="Calibri" w:hAnsi="Times New Roman"/>
          <w:sz w:val="24"/>
          <w:szCs w:val="24"/>
          <w:cs/>
          <w:lang w:bidi="ta-IN"/>
        </w:rPr>
        <w:t xml:space="preserve">14 </w:t>
      </w:r>
      <w:r w:rsidRPr="00AF5FCF">
        <w:rPr>
          <w:rFonts w:ascii="Times New Roman" w:eastAsia="Calibri" w:hAnsi="Times New Roman"/>
          <w:sz w:val="24"/>
          <w:szCs w:val="24"/>
        </w:rPr>
        <w:t>mladih istraživača tj. doktorskih</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studenata. Po dvoje ili jedno od njih su upisali doktorske studije na</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partnerskim ustanovama, a teme njihovih doktorata čine zajedničko koordinirano</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istraživanje o međujezičnim i događajno orijentiranim primjenama jezičnih</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tehnologija i tehnologija znanja.</w:t>
      </w:r>
    </w:p>
    <w:p w14:paraId="6FE4C909" w14:textId="77777777" w:rsidR="00AF5FCF" w:rsidRPr="00AF5FCF" w:rsidRDefault="00AF5FCF" w:rsidP="00AF5FCF">
      <w:pPr>
        <w:spacing w:after="160" w:line="256" w:lineRule="auto"/>
        <w:jc w:val="both"/>
        <w:rPr>
          <w:rFonts w:ascii="Times New Roman" w:eastAsia="Calibri" w:hAnsi="Times New Roman"/>
          <w:sz w:val="24"/>
          <w:szCs w:val="24"/>
        </w:rPr>
      </w:pPr>
    </w:p>
    <w:p w14:paraId="3ADE39DF"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National Language Technologies Platform</w:t>
      </w:r>
      <w:r w:rsidRPr="00AF5FCF">
        <w:rPr>
          <w:rFonts w:ascii="Times New Roman" w:eastAsia="Calibri" w:hAnsi="Times New Roman"/>
          <w:b/>
          <w:bCs/>
          <w:sz w:val="24"/>
          <w:szCs w:val="24"/>
          <w:cs/>
          <w:lang w:bidi="ta-IN"/>
        </w:rPr>
        <w:t xml:space="preserve"> (</w:t>
      </w:r>
      <w:r w:rsidRPr="00AF5FCF">
        <w:rPr>
          <w:rFonts w:ascii="Times New Roman" w:eastAsia="Calibri" w:hAnsi="Times New Roman"/>
          <w:b/>
          <w:bCs/>
          <w:sz w:val="24"/>
          <w:szCs w:val="24"/>
        </w:rPr>
        <w:t>NLTP)</w:t>
      </w:r>
    </w:p>
    <w:p w14:paraId="29E023A5"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Projekt</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NLTP poduprt je kroz Instrument za povezivanje Europe (Connecting Europe</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Facility, CEF) . Nacionalna jezičnotehnološka platforma (NJTP), kad se izradi,</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predstavlja digitalnu uslugu koja omogućuje uporabu jezičnih tehnologija</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ponajprije strojnoga prevođenja i strojno potpomognutoga prevođenja) javnoj</w:t>
      </w:r>
      <w:r w:rsidRPr="00AF5FCF">
        <w:rPr>
          <w:rFonts w:ascii="Times New Roman" w:eastAsia="Calibri" w:hAnsi="Times New Roman"/>
          <w:sz w:val="24"/>
          <w:szCs w:val="24"/>
          <w:cs/>
          <w:lang w:bidi="ta-IN"/>
        </w:rPr>
        <w:t xml:space="preserve"> </w:t>
      </w:r>
      <w:r w:rsidRPr="00AF5FCF">
        <w:rPr>
          <w:rFonts w:ascii="Times New Roman" w:eastAsia="Calibri" w:hAnsi="Times New Roman"/>
          <w:sz w:val="24"/>
          <w:szCs w:val="24"/>
        </w:rPr>
        <w:t>upravi u pet partnerskih država (Latvija, Hrvatska, Malta, Estonija, Island).</w:t>
      </w:r>
    </w:p>
    <w:p w14:paraId="16C42B04" w14:textId="77777777" w:rsidR="00AF5FCF" w:rsidRPr="00AF5FCF" w:rsidRDefault="00AF5FCF" w:rsidP="00AF5FCF">
      <w:pPr>
        <w:spacing w:after="160" w:line="256" w:lineRule="auto"/>
        <w:jc w:val="both"/>
        <w:rPr>
          <w:rFonts w:ascii="Times New Roman" w:eastAsia="Calibri" w:hAnsi="Times New Roman"/>
          <w:sz w:val="24"/>
          <w:szCs w:val="24"/>
        </w:rPr>
      </w:pPr>
    </w:p>
    <w:p w14:paraId="7EB2E329"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How Ordinary People Make Sense of Anti-Gender Messages</w:t>
      </w:r>
      <w:r w:rsidRPr="00AF5FCF">
        <w:rPr>
          <w:rFonts w:ascii="Times New Roman" w:eastAsia="Calibri" w:hAnsi="Times New Roman"/>
          <w:b/>
          <w:bCs/>
          <w:sz w:val="24"/>
          <w:szCs w:val="24"/>
          <w:lang w:val="en-GB"/>
        </w:rPr>
        <w:t xml:space="preserve"> (Sense </w:t>
      </w:r>
      <w:proofErr w:type="spellStart"/>
      <w:r w:rsidRPr="00AF5FCF">
        <w:rPr>
          <w:rFonts w:ascii="Times New Roman" w:eastAsia="Calibri" w:hAnsi="Times New Roman"/>
          <w:b/>
          <w:bCs/>
          <w:sz w:val="24"/>
          <w:szCs w:val="24"/>
          <w:lang w:val="en-GB"/>
        </w:rPr>
        <w:t>AGENDa</w:t>
      </w:r>
      <w:proofErr w:type="spellEnd"/>
      <w:r w:rsidRPr="00AF5FCF">
        <w:rPr>
          <w:rFonts w:ascii="Times New Roman" w:eastAsia="Calibri" w:hAnsi="Times New Roman"/>
          <w:b/>
          <w:bCs/>
          <w:sz w:val="24"/>
          <w:szCs w:val="24"/>
          <w:lang w:val="en-GB"/>
        </w:rPr>
        <w:t>)</w:t>
      </w:r>
    </w:p>
    <w:p w14:paraId="2FC18A44" w14:textId="393B9064"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 xml:space="preserve"> This project explores why ordinary people continue to oppose and, in some European democracies, increasingly push back against gender and sexual equality. In face of anti-gender mobilizations, i.e. the campaigns against gender and LGBT rights that have been growing in strength and influence since the mid-2000s, we urgently need to In examining these questions, this study will adopt a cross-cultural qualitative research design, comparing the strategically selected cases of Croatia and Belgium (Flanders). By a unique combination of democratic forums, pre-acquainted focus groups and individual interviews, this study aims to understand how ordinary people evaluate publicly available ideas about gender and sexuality; how the individuals' personal and social characteristics and identifications shape their evaluations at both the individual and collective level; and how are these gender and sexuality evaluations and interpretations situated into contexts with different climates of opinions and institutional-legal frameworks. Based on this, the study aims to build a theoretical model of cultural reception that connects individual and group perspectives and socio-cultural contexts. The project's insights will contribute to various disciplines studying the interactions of institutions, values and individual meanings in general, and the anti-gender mobilizations more specifically, ranging from sociology and political sciences to social movements, public opinion and gender and sexuality studies. The study's results are also intended to generate wider social impact by highlighting the concerns the policymakers and the stakeholders need more strongly address if they desire to open a constructive public dialogue with citizens struggling how to best make sense of difficult issues in an uncertain world.</w:t>
      </w:r>
    </w:p>
    <w:p w14:paraId="2EE21B9C" w14:textId="77777777" w:rsidR="00AF5FCF" w:rsidRPr="00AF5FCF" w:rsidRDefault="00AF5FCF" w:rsidP="00AF5FCF">
      <w:pPr>
        <w:spacing w:after="160" w:line="256" w:lineRule="auto"/>
        <w:jc w:val="both"/>
        <w:rPr>
          <w:rFonts w:ascii="Times New Roman" w:eastAsia="Calibri" w:hAnsi="Times New Roman"/>
          <w:sz w:val="24"/>
          <w:szCs w:val="24"/>
        </w:rPr>
      </w:pPr>
    </w:p>
    <w:p w14:paraId="3349FF66"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 xml:space="preserve">Naziv projekta: "Developing a new curriculum in Global Migration, Diaspora and Border Studies in East-Central Europe (GLocalEAst)" - 2020-1-SK01-KA203-078263   </w:t>
      </w:r>
    </w:p>
    <w:p w14:paraId="38D7A9B9" w14:textId="5E45275A" w:rsidR="00AF5FCF" w:rsidRPr="00AF5FCF" w:rsidRDefault="00085323" w:rsidP="00AF5FCF">
      <w:pPr>
        <w:spacing w:after="160" w:line="256" w:lineRule="auto"/>
        <w:jc w:val="both"/>
        <w:rPr>
          <w:rFonts w:ascii="Times New Roman" w:eastAsia="Calibri" w:hAnsi="Times New Roman"/>
          <w:sz w:val="24"/>
          <w:szCs w:val="24"/>
        </w:rPr>
      </w:pPr>
      <w:r>
        <w:rPr>
          <w:rFonts w:ascii="Times New Roman" w:eastAsia="Calibri" w:hAnsi="Times New Roman"/>
          <w:sz w:val="24"/>
          <w:szCs w:val="24"/>
        </w:rPr>
        <w:t>P</w:t>
      </w:r>
      <w:r w:rsidR="00AF5FCF" w:rsidRPr="00AF5FCF">
        <w:rPr>
          <w:rFonts w:ascii="Times New Roman" w:eastAsia="Calibri" w:hAnsi="Times New Roman"/>
          <w:sz w:val="24"/>
          <w:szCs w:val="24"/>
        </w:rPr>
        <w:t>rojekt: “Developing a new curriculum in Global Migration, Diaspora and Border Studies in East-Central Europe” (GLocalEAst) je trogodišnji Erasmus+ kojeg provodi šest europskih sveučilišta kao punopravni partneri i deset pridruženih partnera iz različitih zemalja. Projekt je osmišljen za rješavanje suvremenih izazova u istočnoj i srednjoj Europi promicanjem istraživanja, prakse i političke akcije u rješavanju pitanja migracija, prateći transnacionalne i transsektorske perspektive. Projekt smjera istovremenoj izradi inovativnog kurikuluma za studije migracija, dijaspore i granica, kao oformljenju platforme stručnjaka iz akademskih krugova, nevladinih organizacija i lokalnih vladinih institucija koji prate procese migracije i integracije u istočnoj i srednjoj Europi.</w:t>
      </w:r>
    </w:p>
    <w:p w14:paraId="57915034" w14:textId="77777777" w:rsidR="00085323" w:rsidRDefault="00085323" w:rsidP="00AF5FCF">
      <w:pPr>
        <w:spacing w:after="160" w:line="256" w:lineRule="auto"/>
        <w:jc w:val="both"/>
        <w:rPr>
          <w:rFonts w:ascii="Times New Roman" w:eastAsia="Calibri" w:hAnsi="Times New Roman"/>
          <w:sz w:val="24"/>
          <w:szCs w:val="24"/>
        </w:rPr>
      </w:pPr>
    </w:p>
    <w:p w14:paraId="43FFAEEA" w14:textId="17C0B94C"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Erasmus+ "Rediscovering „NewEurope” – On-Wheels summer school for Balkan/Central and Eastern Europe trans-border history and politics"</w:t>
      </w:r>
    </w:p>
    <w:p w14:paraId="61A5618C" w14:textId="0932941D"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Stereotipna percepcija balkanskih, istočnih i srednjoeuropskih regija kao potencijalno konfliktnih, postkomunističkih, postsovjetskih i previše orijentalnih (osobito Balkana)</w:t>
      </w:r>
      <w:r w:rsidR="00085323">
        <w:rPr>
          <w:rFonts w:ascii="Times New Roman" w:eastAsia="Calibri" w:hAnsi="Times New Roman"/>
          <w:sz w:val="24"/>
          <w:szCs w:val="24"/>
        </w:rPr>
        <w:t xml:space="preserve"> </w:t>
      </w:r>
      <w:r w:rsidRPr="00AF5FCF">
        <w:rPr>
          <w:rFonts w:ascii="Times New Roman" w:eastAsia="Calibri" w:hAnsi="Times New Roman"/>
          <w:sz w:val="24"/>
          <w:szCs w:val="24"/>
        </w:rPr>
        <w:t>stvara posebnu nelagodu i neravnotežu u općem europskom pogledu. Upravo taj problematičan pogled na prostor provocira ideju drugačijeg pristupa i pokušaja da se</w:t>
      </w:r>
      <w:r w:rsidR="00085323">
        <w:rPr>
          <w:rFonts w:ascii="Times New Roman" w:eastAsia="Calibri" w:hAnsi="Times New Roman"/>
          <w:sz w:val="24"/>
          <w:szCs w:val="24"/>
        </w:rPr>
        <w:t xml:space="preserve"> </w:t>
      </w:r>
      <w:r w:rsidRPr="00AF5FCF">
        <w:rPr>
          <w:rFonts w:ascii="Times New Roman" w:eastAsia="Calibri" w:hAnsi="Times New Roman"/>
          <w:sz w:val="24"/>
          <w:szCs w:val="24"/>
        </w:rPr>
        <w:t>uništiti takve preklapane percepcije. Nemogućnost sveukupno neutralnog i obostrano zadovoljavajućeg čitanja povijesti i politike regije nešto je što teško</w:t>
      </w:r>
      <w:r w:rsidR="00085323">
        <w:rPr>
          <w:rFonts w:ascii="Times New Roman" w:eastAsia="Calibri" w:hAnsi="Times New Roman"/>
          <w:sz w:val="24"/>
          <w:szCs w:val="24"/>
        </w:rPr>
        <w:t xml:space="preserve"> </w:t>
      </w:r>
      <w:r w:rsidRPr="00AF5FCF">
        <w:rPr>
          <w:rFonts w:ascii="Times New Roman" w:eastAsia="Calibri" w:hAnsi="Times New Roman"/>
          <w:sz w:val="24"/>
          <w:szCs w:val="24"/>
        </w:rPr>
        <w:t>dvojbeno. No, mogućnost izgradnje pozitivnijeg imidža kroz intenzivnu komunikaciju među pretežno mladima pristup je koji još nije dobro definiran</w:t>
      </w:r>
      <w:r w:rsidR="00085323">
        <w:rPr>
          <w:rFonts w:ascii="Times New Roman" w:eastAsia="Calibri" w:hAnsi="Times New Roman"/>
          <w:sz w:val="24"/>
          <w:szCs w:val="24"/>
        </w:rPr>
        <w:t xml:space="preserve"> </w:t>
      </w:r>
      <w:r w:rsidRPr="00AF5FCF">
        <w:rPr>
          <w:rFonts w:ascii="Times New Roman" w:eastAsia="Calibri" w:hAnsi="Times New Roman"/>
          <w:sz w:val="24"/>
          <w:szCs w:val="24"/>
        </w:rPr>
        <w:t>i dizajniran.</w:t>
      </w:r>
      <w:r w:rsidR="00085323">
        <w:rPr>
          <w:rFonts w:ascii="Times New Roman" w:eastAsia="Calibri" w:hAnsi="Times New Roman"/>
          <w:sz w:val="24"/>
          <w:szCs w:val="24"/>
        </w:rPr>
        <w:t xml:space="preserve"> </w:t>
      </w:r>
      <w:r w:rsidRPr="00AF5FCF">
        <w:rPr>
          <w:rFonts w:ascii="Times New Roman" w:eastAsia="Calibri" w:hAnsi="Times New Roman"/>
          <w:sz w:val="24"/>
          <w:szCs w:val="24"/>
        </w:rPr>
        <w:t>U mijenjanju Europe jedan od najvećih problema i dalje je stereotipno prihvaćanje “Drugog”, onog koji je drugačiji, nepoznat u širem smislu. Ovo zvuči još više</w:t>
      </w:r>
      <w:r w:rsidR="00085323">
        <w:rPr>
          <w:rFonts w:ascii="Times New Roman" w:eastAsia="Calibri" w:hAnsi="Times New Roman"/>
          <w:sz w:val="24"/>
          <w:szCs w:val="24"/>
        </w:rPr>
        <w:t xml:space="preserve"> </w:t>
      </w:r>
      <w:r w:rsidRPr="00AF5FCF">
        <w:rPr>
          <w:rFonts w:ascii="Times New Roman" w:eastAsia="Calibri" w:hAnsi="Times New Roman"/>
          <w:sz w:val="24"/>
          <w:szCs w:val="24"/>
        </w:rPr>
        <w:lastRenderedPageBreak/>
        <w:t>opravdano kada su u pitanju shvaćanja i stavovi usmjereni prema prostoru Balkana i Srednje i Istočne Europe. Iako postoji velika tradicija istraživanja i</w:t>
      </w:r>
      <w:r w:rsidR="00085323">
        <w:rPr>
          <w:rFonts w:ascii="Times New Roman" w:eastAsia="Calibri" w:hAnsi="Times New Roman"/>
          <w:sz w:val="24"/>
          <w:szCs w:val="24"/>
        </w:rPr>
        <w:t xml:space="preserve"> </w:t>
      </w:r>
      <w:r w:rsidRPr="00AF5FCF">
        <w:rPr>
          <w:rFonts w:ascii="Times New Roman" w:eastAsia="Calibri" w:hAnsi="Times New Roman"/>
          <w:sz w:val="24"/>
          <w:szCs w:val="24"/>
        </w:rPr>
        <w:t>istražujući regiju, “Stara” Europa još uvijek ima poteškoća u razumijevanju ovog “Novog” dijela sebe. A ipak predstoji ne samo da ga razumijemo, nego i da ga integriramo zbog svih EU</w:t>
      </w:r>
      <w:r w:rsidR="00085323">
        <w:rPr>
          <w:rFonts w:ascii="Times New Roman" w:eastAsia="Calibri" w:hAnsi="Times New Roman"/>
          <w:sz w:val="24"/>
          <w:szCs w:val="24"/>
        </w:rPr>
        <w:t xml:space="preserve"> </w:t>
      </w:r>
      <w:r w:rsidRPr="00AF5FCF">
        <w:rPr>
          <w:rFonts w:ascii="Times New Roman" w:eastAsia="Calibri" w:hAnsi="Times New Roman"/>
          <w:sz w:val="24"/>
          <w:szCs w:val="24"/>
        </w:rPr>
        <w:t>integracija</w:t>
      </w:r>
      <w:r w:rsidR="00085323">
        <w:rPr>
          <w:rFonts w:ascii="Times New Roman" w:eastAsia="Calibri" w:hAnsi="Times New Roman"/>
          <w:sz w:val="24"/>
          <w:szCs w:val="24"/>
        </w:rPr>
        <w:t xml:space="preserve"> </w:t>
      </w:r>
      <w:r w:rsidRPr="00AF5FCF">
        <w:rPr>
          <w:rFonts w:ascii="Times New Roman" w:eastAsia="Calibri" w:hAnsi="Times New Roman"/>
          <w:sz w:val="24"/>
          <w:szCs w:val="24"/>
        </w:rPr>
        <w:t>procesi koji se odvijaju u zapadnim dijelovima Balkanskog poluotoka te Srednje i Istočne Europe.</w:t>
      </w:r>
      <w:r w:rsidR="00085323">
        <w:rPr>
          <w:rFonts w:ascii="Times New Roman" w:eastAsia="Calibri" w:hAnsi="Times New Roman"/>
          <w:sz w:val="24"/>
          <w:szCs w:val="24"/>
        </w:rPr>
        <w:t xml:space="preserve"> </w:t>
      </w:r>
      <w:r w:rsidRPr="00AF5FCF">
        <w:rPr>
          <w:rFonts w:ascii="Times New Roman" w:eastAsia="Calibri" w:hAnsi="Times New Roman"/>
          <w:sz w:val="24"/>
          <w:szCs w:val="24"/>
        </w:rPr>
        <w:t>Glavna ciljna skupina prijedloga bit će sveučilišni profesori; sveučilišni asistenti; sveučilišni istraživači i znanstvenici.</w:t>
      </w:r>
    </w:p>
    <w:p w14:paraId="209C179F" w14:textId="77777777" w:rsidR="00AF5FCF" w:rsidRPr="00AF5FCF" w:rsidRDefault="00AF5FCF" w:rsidP="00AF5FCF">
      <w:pPr>
        <w:spacing w:after="160" w:line="256" w:lineRule="auto"/>
        <w:jc w:val="both"/>
        <w:rPr>
          <w:rFonts w:ascii="Times New Roman" w:eastAsia="Calibri" w:hAnsi="Times New Roman"/>
          <w:sz w:val="24"/>
          <w:szCs w:val="24"/>
        </w:rPr>
      </w:pPr>
    </w:p>
    <w:p w14:paraId="1F42E77C"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SLIDE (Service-Learning as a pedagogy to promote Inclusion, diversity, and Digital Empowerment)</w:t>
      </w:r>
    </w:p>
    <w:p w14:paraId="66232C1D"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Projekt SLIDE isprepliće pedagogiju društveno korisnog učenja (SL) s digitalnim osnaživanjem (DE) u cilju promicanja inkluzije (I). SLIDE okuplja studente i profesore s raznih europskih sveučilišta kako bi se oslonili na postojeće prakse, razmijenili znanje i razvili najbolje prakse u zajednici i sa zajednicom, pri čemu svi postaju resursi za podučavanje i partneri. Svrha društveno korisnog učenja je usaditi osjećaj angažmana i odgovornosti kod studenata te ih motivirati na pozitivne društvene promjene, dok je svrha digitalnog osnaživanja učiniti pojedinca sposobnim za život s digitalnom tehnologijom, postavljajući tog pojedinca u središte podučavanja. U praksi, priroda SL i DE prilično je složena i podložna mnogim tumačenjima. Stoga ovaj projekt odgovara rastućoj potrebi za promicanjem međusobno povezanih sustava visokog obrazovanja, poticanjem inovativnih praksi učenja i poučavanja, digitalnog osnaživanja, inkluzije i raznolikosti te promicanjem društvenog poduzetništva.</w:t>
      </w:r>
    </w:p>
    <w:p w14:paraId="6E603CFC" w14:textId="77777777" w:rsidR="00AF5FCF" w:rsidRPr="00AF5FCF" w:rsidRDefault="00AF5FCF" w:rsidP="00AF5FCF">
      <w:pPr>
        <w:spacing w:after="160" w:line="256" w:lineRule="auto"/>
        <w:jc w:val="both"/>
        <w:rPr>
          <w:rFonts w:ascii="Times New Roman" w:eastAsia="Calibri" w:hAnsi="Times New Roman"/>
          <w:sz w:val="24"/>
          <w:szCs w:val="24"/>
        </w:rPr>
      </w:pPr>
    </w:p>
    <w:p w14:paraId="665021DC"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"Civic engagement of cultural and historical heritage inurban and sub-urban environment – EU context, perspectives &amp; good practices"</w:t>
      </w:r>
    </w:p>
    <w:p w14:paraId="7B9CA4F6" w14:textId="7161C3C1"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Važnost očuvanja i socijalizacije kulturno-povijesne baštine (CHH) u urbanom i suburbanom prostoru</w:t>
      </w:r>
      <w:r w:rsidR="00722795">
        <w:rPr>
          <w:rFonts w:ascii="Times New Roman" w:eastAsia="Calibri" w:hAnsi="Times New Roman"/>
          <w:sz w:val="24"/>
          <w:szCs w:val="24"/>
        </w:rPr>
        <w:t xml:space="preserve"> </w:t>
      </w:r>
      <w:r w:rsidRPr="00AF5FCF">
        <w:rPr>
          <w:rFonts w:ascii="Times New Roman" w:eastAsia="Calibri" w:hAnsi="Times New Roman"/>
          <w:sz w:val="24"/>
          <w:szCs w:val="24"/>
        </w:rPr>
        <w:t>okruženja teško da treba objašnjavati sveučilišnim profesorima i asistentima. Ali čini se da je njima malo potrebno</w:t>
      </w:r>
      <w:r w:rsidR="00722795">
        <w:rPr>
          <w:rFonts w:ascii="Times New Roman" w:eastAsia="Calibri" w:hAnsi="Times New Roman"/>
          <w:sz w:val="24"/>
          <w:szCs w:val="24"/>
        </w:rPr>
        <w:t xml:space="preserve"> </w:t>
      </w:r>
      <w:r w:rsidRPr="00AF5FCF">
        <w:rPr>
          <w:rFonts w:ascii="Times New Roman" w:eastAsia="Calibri" w:hAnsi="Times New Roman"/>
          <w:sz w:val="24"/>
          <w:szCs w:val="24"/>
        </w:rPr>
        <w:t>više praktično orijentirana znanja, vještine i kompetencije kako bi se mogli uvjerljivije i kvalitetnije braniti</w:t>
      </w:r>
      <w:r w:rsidR="00722795">
        <w:rPr>
          <w:rFonts w:ascii="Times New Roman" w:eastAsia="Calibri" w:hAnsi="Times New Roman"/>
          <w:sz w:val="24"/>
          <w:szCs w:val="24"/>
        </w:rPr>
        <w:t xml:space="preserve"> </w:t>
      </w:r>
      <w:r w:rsidRPr="00AF5FCF">
        <w:rPr>
          <w:rFonts w:ascii="Times New Roman" w:eastAsia="Calibri" w:hAnsi="Times New Roman"/>
          <w:sz w:val="24"/>
          <w:szCs w:val="24"/>
        </w:rPr>
        <w:t>potreba socijalizacije, očuvanja i eksponiranja ove baštine na adekvatan i ispravan način. Oni su ti koji shvaćaju</w:t>
      </w:r>
      <w:r w:rsidR="00722795">
        <w:rPr>
          <w:rFonts w:ascii="Times New Roman" w:eastAsia="Calibri" w:hAnsi="Times New Roman"/>
          <w:sz w:val="24"/>
          <w:szCs w:val="24"/>
        </w:rPr>
        <w:t xml:space="preserve"> </w:t>
      </w:r>
      <w:r w:rsidRPr="00AF5FCF">
        <w:rPr>
          <w:rFonts w:ascii="Times New Roman" w:eastAsia="Calibri" w:hAnsi="Times New Roman"/>
          <w:sz w:val="24"/>
          <w:szCs w:val="24"/>
        </w:rPr>
        <w:t>najbolje je da je ključno poticati kulturni angažman, međukulturni dijalog, mobilizaciju i aktivno sudjelovanje svih</w:t>
      </w:r>
      <w:r w:rsidR="00722795">
        <w:rPr>
          <w:rFonts w:ascii="Times New Roman" w:eastAsia="Calibri" w:hAnsi="Times New Roman"/>
          <w:sz w:val="24"/>
          <w:szCs w:val="24"/>
        </w:rPr>
        <w:t xml:space="preserve"> </w:t>
      </w:r>
      <w:r w:rsidRPr="00AF5FCF">
        <w:rPr>
          <w:rFonts w:ascii="Times New Roman" w:eastAsia="Calibri" w:hAnsi="Times New Roman"/>
          <w:sz w:val="24"/>
          <w:szCs w:val="24"/>
        </w:rPr>
        <w:t>članovima lokalnih zajednica (uključujući sveučilišta) za promicanje i održavanje CHH u regionalnoj, nacionalnoj i</w:t>
      </w:r>
      <w:r w:rsidR="00722795">
        <w:rPr>
          <w:rFonts w:ascii="Times New Roman" w:eastAsia="Calibri" w:hAnsi="Times New Roman"/>
          <w:sz w:val="24"/>
          <w:szCs w:val="24"/>
        </w:rPr>
        <w:t xml:space="preserve"> </w:t>
      </w:r>
      <w:r w:rsidRPr="00AF5FCF">
        <w:rPr>
          <w:rFonts w:ascii="Times New Roman" w:eastAsia="Calibri" w:hAnsi="Times New Roman"/>
          <w:sz w:val="24"/>
          <w:szCs w:val="24"/>
        </w:rPr>
        <w:t>međunarodnoj razini. Kako i dalje postoji potreba za zaštitom nacionalnog kulturnog identiteta i njegove povijesti uz ne samo priznanje</w:t>
      </w:r>
      <w:r w:rsidR="00722795">
        <w:rPr>
          <w:rFonts w:ascii="Times New Roman" w:eastAsia="Calibri" w:hAnsi="Times New Roman"/>
          <w:sz w:val="24"/>
          <w:szCs w:val="24"/>
        </w:rPr>
        <w:t xml:space="preserve"> </w:t>
      </w:r>
      <w:r w:rsidRPr="00AF5FCF">
        <w:rPr>
          <w:rFonts w:ascii="Times New Roman" w:eastAsia="Calibri" w:hAnsi="Times New Roman"/>
          <w:sz w:val="24"/>
          <w:szCs w:val="24"/>
        </w:rPr>
        <w:t>nacionalnu kulturu i povijest, ali i priznanje da je to naslijeđe također dio nasljeđa EU. Kao što je ono što stvara</w:t>
      </w:r>
      <w:r w:rsidR="00722795">
        <w:rPr>
          <w:rFonts w:ascii="Times New Roman" w:eastAsia="Calibri" w:hAnsi="Times New Roman"/>
          <w:sz w:val="24"/>
          <w:szCs w:val="24"/>
        </w:rPr>
        <w:t xml:space="preserve"> </w:t>
      </w:r>
      <w:r w:rsidRPr="00AF5FCF">
        <w:rPr>
          <w:rFonts w:ascii="Times New Roman" w:eastAsia="Calibri" w:hAnsi="Times New Roman"/>
          <w:sz w:val="24"/>
          <w:szCs w:val="24"/>
        </w:rPr>
        <w:t>osjećaj pripadnosti našoj zajedničkoj europskoj obitelji.</w:t>
      </w:r>
    </w:p>
    <w:p w14:paraId="43716DF9" w14:textId="77777777" w:rsidR="00AF5FCF" w:rsidRPr="00AF5FCF" w:rsidRDefault="00AF5FCF" w:rsidP="00AF5FCF">
      <w:pPr>
        <w:spacing w:after="160" w:line="256" w:lineRule="auto"/>
        <w:jc w:val="both"/>
        <w:rPr>
          <w:rFonts w:ascii="Times New Roman" w:eastAsia="Calibri" w:hAnsi="Times New Roman"/>
          <w:sz w:val="24"/>
          <w:szCs w:val="24"/>
        </w:rPr>
      </w:pPr>
    </w:p>
    <w:p w14:paraId="7194C5FE"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DIAMAS - Developing Institutional open Access publishing Models to Advance Scholarly communication</w:t>
      </w:r>
    </w:p>
    <w:p w14:paraId="02288AF4" w14:textId="11512116" w:rsidR="00722795"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DIAMAS brings together the major public service scholarly organisations in Europe, and the necessary expertise to develop a common set of European standards for institutional publishing across all disciplines, as well as the authority and the network to make sure that they are considered and adopted by all member organisations.</w:t>
      </w:r>
    </w:p>
    <w:p w14:paraId="450D7333" w14:textId="5F7AB96E"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b/>
          <w:bCs/>
          <w:sz w:val="24"/>
          <w:szCs w:val="24"/>
        </w:rPr>
        <w:lastRenderedPageBreak/>
        <w:t>Naziv projekta</w:t>
      </w:r>
      <w:r w:rsidRPr="00AF5FCF">
        <w:rPr>
          <w:rFonts w:ascii="Times New Roman" w:eastAsia="Calibri" w:hAnsi="Times New Roman"/>
          <w:sz w:val="24"/>
          <w:szCs w:val="24"/>
        </w:rPr>
        <w:t xml:space="preserve">: </w:t>
      </w:r>
      <w:r w:rsidRPr="00AF5FCF">
        <w:rPr>
          <w:rFonts w:ascii="Times New Roman" w:eastAsia="Calibri" w:hAnsi="Times New Roman"/>
          <w:b/>
          <w:bCs/>
          <w:sz w:val="24"/>
          <w:szCs w:val="24"/>
          <w:lang w:val="en-US"/>
        </w:rPr>
        <w:t>e-SL4EU – e-Service Learning for more digital and inclusive EU Higher Education systems</w:t>
      </w:r>
    </w:p>
    <w:p w14:paraId="7069054A" w14:textId="77777777"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Projekt ima za cilj razviti treću misiju sveučilišta kroz njihov angažman u zajednici. Projekt uključuje izradu skupa alata i specifičnih znanja namijenjenih predavačima/profesorima na visokim učilištima i studentima s ciljem promicanja promjene tradicionalnog asistivnog modela društveno korisnog učenja u horizontalni model solidarnosti te distribucije znanja o metodologijama e-društveno korisnog učenja.</w:t>
      </w:r>
    </w:p>
    <w:p w14:paraId="07FCDF2C" w14:textId="77777777" w:rsidR="00AF5FCF" w:rsidRPr="00AF5FCF" w:rsidRDefault="00AF5FCF" w:rsidP="00AF5FCF">
      <w:pPr>
        <w:spacing w:after="160" w:line="256" w:lineRule="auto"/>
        <w:jc w:val="both"/>
        <w:rPr>
          <w:rFonts w:ascii="Times New Roman" w:eastAsia="Calibri" w:hAnsi="Times New Roman"/>
          <w:sz w:val="24"/>
          <w:szCs w:val="24"/>
        </w:rPr>
      </w:pPr>
    </w:p>
    <w:p w14:paraId="266DCB29"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IPEDU - Introducing Intellectual Property Education for Lifelong Learning and the Knowledge Economy</w:t>
      </w:r>
    </w:p>
    <w:p w14:paraId="702A85BF" w14:textId="4C5AF924"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Obrazovanje u području intelektualnog vlasništva; specifično uvođenje sadržaja koji se odnose na intelektualno i industrijsko vlasništvo u visokoškolsko obrazovanje</w:t>
      </w:r>
      <w:r w:rsidR="00E31ADD">
        <w:rPr>
          <w:rFonts w:ascii="Times New Roman" w:eastAsia="Calibri" w:hAnsi="Times New Roman"/>
          <w:sz w:val="24"/>
          <w:szCs w:val="24"/>
        </w:rPr>
        <w:t xml:space="preserve">. </w:t>
      </w:r>
      <w:r w:rsidRPr="00AF5FCF">
        <w:rPr>
          <w:rFonts w:ascii="Times New Roman" w:eastAsia="Calibri" w:hAnsi="Times New Roman"/>
          <w:sz w:val="24"/>
          <w:szCs w:val="24"/>
        </w:rPr>
        <w:t>Svrha i cilj projekta: 1. unaprijediti obrazovanje u području intelektualnog vlasništva; 2. jačati suradnju između sveučilišta i poslovnog okruženja, 3. poticati razmjenu i su-kreiranje znanja u polju industrijskog vlasništva; 3. koreliranje kurikuluma u području industrijskog vlasništva s konkretnim potrebama tržišta rada; 4. umanjiti značajne razlike u kurikulimima industrijskog vlasništva na nacionalnoj i EU razini; 5. uvođenje obrazovanje u području industrijskog vlasništva na tehničkim fakultetima; 6. doprinijeti razvoju kompetencija knjižničara u području industrijskog vlasništva</w:t>
      </w:r>
    </w:p>
    <w:p w14:paraId="2A59DF82" w14:textId="77777777" w:rsidR="00AF5FCF" w:rsidRPr="00AF5FCF" w:rsidRDefault="00AF5FCF" w:rsidP="00AF5FCF">
      <w:pPr>
        <w:spacing w:after="160" w:line="256" w:lineRule="auto"/>
        <w:jc w:val="both"/>
        <w:rPr>
          <w:rFonts w:ascii="Times New Roman" w:eastAsia="Calibri" w:hAnsi="Times New Roman"/>
          <w:sz w:val="24"/>
          <w:szCs w:val="24"/>
        </w:rPr>
      </w:pPr>
    </w:p>
    <w:p w14:paraId="54E04016"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 xml:space="preserve"> Naziv projekta: Research into representations of intercultural contacts in Czech travelogue texts from the Mediterranean up to 1918, using digital humanities</w:t>
      </w:r>
    </w:p>
    <w:p w14:paraId="3A077F3C" w14:textId="025E39D1"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 xml:space="preserve">Projekt podrazumijeva prikupljanje i istraživanje reprezentacije interkulturnih kontakata na prostoru Mediterana u češki pisanim tekstovima putopisne prirode sve do 1918. godine, kao i obrada istih pomoću alata digital humanities: digitalno mapiranje, digitalizacija prikupljenih književnih tekstova i obrada podataka. </w:t>
      </w:r>
    </w:p>
    <w:p w14:paraId="4CA8E235" w14:textId="77777777" w:rsidR="00AF5FCF" w:rsidRPr="00AF5FCF" w:rsidRDefault="00AF5FCF" w:rsidP="00AF5FCF">
      <w:pPr>
        <w:spacing w:after="160" w:line="256" w:lineRule="auto"/>
        <w:jc w:val="both"/>
        <w:rPr>
          <w:rFonts w:ascii="Times New Roman" w:eastAsia="Calibri" w:hAnsi="Times New Roman"/>
          <w:sz w:val="24"/>
          <w:szCs w:val="24"/>
        </w:rPr>
      </w:pPr>
    </w:p>
    <w:p w14:paraId="796C7E67"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w:t>
      </w:r>
      <w:r w:rsidRPr="00AF5FCF">
        <w:rPr>
          <w:rFonts w:ascii="Times New Roman" w:eastAsia="Calibri" w:hAnsi="Times New Roman"/>
          <w:sz w:val="24"/>
          <w:szCs w:val="24"/>
        </w:rPr>
        <w:t xml:space="preserve"> </w:t>
      </w:r>
      <w:r w:rsidRPr="00AF5FCF">
        <w:rPr>
          <w:rFonts w:ascii="Times New Roman" w:eastAsia="Calibri" w:hAnsi="Times New Roman"/>
          <w:b/>
          <w:bCs/>
          <w:sz w:val="24"/>
          <w:szCs w:val="24"/>
        </w:rPr>
        <w:t xml:space="preserve">FOCUS - Forced displacement and refugee-host community solidarity   </w:t>
      </w:r>
    </w:p>
    <w:p w14:paraId="4012852C" w14:textId="2D2EB46F"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Istraživanje integracijskih procesa u EU i rizika i otp</w:t>
      </w:r>
      <w:r w:rsidR="00450764">
        <w:rPr>
          <w:rFonts w:ascii="Times New Roman" w:eastAsia="Calibri" w:hAnsi="Times New Roman"/>
          <w:sz w:val="24"/>
          <w:szCs w:val="24"/>
        </w:rPr>
        <w:t>o</w:t>
      </w:r>
      <w:r w:rsidRPr="00AF5FCF">
        <w:rPr>
          <w:rFonts w:ascii="Times New Roman" w:eastAsia="Calibri" w:hAnsi="Times New Roman"/>
          <w:sz w:val="24"/>
          <w:szCs w:val="24"/>
        </w:rPr>
        <w:t>rnosti u različitim područjima ugrožavanja mentalnog zdravlja</w:t>
      </w:r>
      <w:r w:rsidR="00450764">
        <w:rPr>
          <w:rFonts w:ascii="Times New Roman" w:eastAsia="Calibri" w:hAnsi="Times New Roman"/>
          <w:sz w:val="24"/>
          <w:szCs w:val="24"/>
        </w:rPr>
        <w:t xml:space="preserve">. </w:t>
      </w:r>
      <w:r w:rsidRPr="00AF5FCF">
        <w:rPr>
          <w:rFonts w:ascii="Times New Roman" w:eastAsia="Calibri" w:hAnsi="Times New Roman"/>
          <w:sz w:val="24"/>
          <w:szCs w:val="24"/>
        </w:rPr>
        <w:t>Svrha i cilj projekta:</w:t>
      </w:r>
      <w:r w:rsidR="00450764">
        <w:rPr>
          <w:rFonts w:ascii="Times New Roman" w:eastAsia="Calibri" w:hAnsi="Times New Roman"/>
          <w:sz w:val="24"/>
          <w:szCs w:val="24"/>
        </w:rPr>
        <w:t xml:space="preserve"> </w:t>
      </w:r>
      <w:r w:rsidRPr="00AF5FCF">
        <w:rPr>
          <w:rFonts w:ascii="Times New Roman" w:eastAsia="Calibri" w:hAnsi="Times New Roman"/>
          <w:sz w:val="24"/>
          <w:szCs w:val="24"/>
        </w:rPr>
        <w:t>Utvrditi i pratiti indikatore integracije u EU te protektivne faktore za psihosocijalnu dobrobit ljudi u okolnostima različitih ugroza.</w:t>
      </w:r>
    </w:p>
    <w:p w14:paraId="218BC8E5" w14:textId="77777777" w:rsidR="00AF5FCF" w:rsidRPr="00AF5FCF" w:rsidRDefault="00AF5FCF" w:rsidP="00AF5FCF">
      <w:pPr>
        <w:spacing w:after="160" w:line="256" w:lineRule="auto"/>
        <w:jc w:val="both"/>
        <w:rPr>
          <w:rFonts w:ascii="Times New Roman" w:eastAsia="Calibri" w:hAnsi="Times New Roman"/>
          <w:sz w:val="24"/>
          <w:szCs w:val="24"/>
          <w:lang w:val="en-US"/>
        </w:rPr>
      </w:pPr>
    </w:p>
    <w:p w14:paraId="3A1ACCB0" w14:textId="77777777" w:rsidR="00AF5FCF" w:rsidRPr="00AF5FCF" w:rsidRDefault="00AF5FCF" w:rsidP="00AF5FCF">
      <w:pPr>
        <w:spacing w:after="160" w:line="256" w:lineRule="auto"/>
        <w:jc w:val="both"/>
        <w:rPr>
          <w:rFonts w:ascii="Times New Roman" w:eastAsia="Calibri" w:hAnsi="Times New Roman"/>
          <w:b/>
          <w:bCs/>
          <w:sz w:val="24"/>
          <w:szCs w:val="24"/>
        </w:rPr>
      </w:pPr>
      <w:proofErr w:type="spellStart"/>
      <w:r w:rsidRPr="00AF5FCF">
        <w:rPr>
          <w:rFonts w:ascii="Times New Roman" w:eastAsia="Calibri" w:hAnsi="Times New Roman"/>
          <w:b/>
          <w:bCs/>
          <w:sz w:val="24"/>
          <w:szCs w:val="24"/>
          <w:lang w:val="en-US"/>
        </w:rPr>
        <w:t>Naziv</w:t>
      </w:r>
      <w:proofErr w:type="spellEnd"/>
      <w:r w:rsidRPr="00AF5FCF">
        <w:rPr>
          <w:rFonts w:ascii="Times New Roman" w:eastAsia="Calibri" w:hAnsi="Times New Roman"/>
          <w:b/>
          <w:bCs/>
          <w:sz w:val="24"/>
          <w:szCs w:val="24"/>
          <w:lang w:val="en-US"/>
        </w:rPr>
        <w:t xml:space="preserve"> </w:t>
      </w:r>
      <w:proofErr w:type="spellStart"/>
      <w:r w:rsidRPr="00AF5FCF">
        <w:rPr>
          <w:rFonts w:ascii="Times New Roman" w:eastAsia="Calibri" w:hAnsi="Times New Roman"/>
          <w:b/>
          <w:bCs/>
          <w:sz w:val="24"/>
          <w:szCs w:val="24"/>
          <w:lang w:val="en-US"/>
        </w:rPr>
        <w:t>projekta</w:t>
      </w:r>
      <w:proofErr w:type="spellEnd"/>
      <w:r w:rsidRPr="00AF5FCF">
        <w:rPr>
          <w:rFonts w:ascii="Times New Roman" w:eastAsia="Calibri" w:hAnsi="Times New Roman"/>
          <w:b/>
          <w:bCs/>
          <w:sz w:val="24"/>
          <w:szCs w:val="24"/>
          <w:lang w:val="en-US"/>
        </w:rPr>
        <w:t xml:space="preserve">: </w:t>
      </w:r>
      <w:proofErr w:type="spellStart"/>
      <w:r w:rsidRPr="00AF5FCF">
        <w:rPr>
          <w:rFonts w:ascii="Times New Roman" w:eastAsia="Calibri" w:hAnsi="Times New Roman"/>
          <w:b/>
          <w:bCs/>
          <w:sz w:val="24"/>
          <w:szCs w:val="24"/>
          <w:lang w:val="en-US"/>
        </w:rPr>
        <w:t>COhort</w:t>
      </w:r>
      <w:proofErr w:type="spellEnd"/>
      <w:r w:rsidRPr="00AF5FCF">
        <w:rPr>
          <w:rFonts w:ascii="Times New Roman" w:eastAsia="Calibri" w:hAnsi="Times New Roman"/>
          <w:b/>
          <w:bCs/>
          <w:sz w:val="24"/>
          <w:szCs w:val="24"/>
          <w:lang w:val="en-US"/>
        </w:rPr>
        <w:t xml:space="preserve"> </w:t>
      </w:r>
      <w:proofErr w:type="spellStart"/>
      <w:r w:rsidRPr="00AF5FCF">
        <w:rPr>
          <w:rFonts w:ascii="Times New Roman" w:eastAsia="Calibri" w:hAnsi="Times New Roman"/>
          <w:b/>
          <w:bCs/>
          <w:sz w:val="24"/>
          <w:szCs w:val="24"/>
          <w:lang w:val="en-US"/>
        </w:rPr>
        <w:t>cOmmunity</w:t>
      </w:r>
      <w:proofErr w:type="spellEnd"/>
      <w:r w:rsidRPr="00AF5FCF">
        <w:rPr>
          <w:rFonts w:ascii="Times New Roman" w:eastAsia="Calibri" w:hAnsi="Times New Roman"/>
          <w:b/>
          <w:bCs/>
          <w:sz w:val="24"/>
          <w:szCs w:val="24"/>
          <w:lang w:val="en-US"/>
        </w:rPr>
        <w:t xml:space="preserve"> Research and Development Infrastructure Network for Access Throughout </w:t>
      </w:r>
      <w:r w:rsidRPr="00AF5FCF">
        <w:rPr>
          <w:rFonts w:ascii="Times New Roman" w:eastAsia="Calibri" w:hAnsi="Times New Roman"/>
          <w:sz w:val="24"/>
          <w:szCs w:val="24"/>
          <w:lang w:val="en-US"/>
        </w:rPr>
        <w:t>(COORDINATE)</w:t>
      </w:r>
    </w:p>
    <w:p w14:paraId="639566D9" w14:textId="1E54338E"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lang w:val="en-US"/>
        </w:rPr>
        <w:t xml:space="preserve">COORDINATE je </w:t>
      </w:r>
      <w:proofErr w:type="spellStart"/>
      <w:r w:rsidRPr="00AF5FCF">
        <w:rPr>
          <w:rFonts w:ascii="Times New Roman" w:eastAsia="Calibri" w:hAnsi="Times New Roman"/>
          <w:sz w:val="24"/>
          <w:szCs w:val="24"/>
          <w:lang w:val="en-US"/>
        </w:rPr>
        <w:t>sljedeća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faza</w:t>
      </w:r>
      <w:proofErr w:type="spellEnd"/>
      <w:r w:rsidRPr="00AF5FCF">
        <w:rPr>
          <w:rFonts w:ascii="Times New Roman" w:eastAsia="Calibri" w:hAnsi="Times New Roman"/>
          <w:sz w:val="24"/>
          <w:szCs w:val="24"/>
          <w:lang w:val="en-US"/>
        </w:rPr>
        <w:t xml:space="preserve"> GUIDE </w:t>
      </w:r>
      <w:proofErr w:type="spellStart"/>
      <w:r w:rsidRPr="00AF5FCF">
        <w:rPr>
          <w:rFonts w:ascii="Times New Roman" w:eastAsia="Calibri" w:hAnsi="Times New Roman"/>
          <w:sz w:val="24"/>
          <w:szCs w:val="24"/>
          <w:lang w:val="en-US"/>
        </w:rPr>
        <w:t>projekta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financiranog</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iz</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programa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Obzor</w:t>
      </w:r>
      <w:proofErr w:type="spellEnd"/>
      <w:r w:rsidRPr="00AF5FCF">
        <w:rPr>
          <w:rFonts w:ascii="Times New Roman" w:eastAsia="Calibri" w:hAnsi="Times New Roman"/>
          <w:sz w:val="24"/>
          <w:szCs w:val="24"/>
          <w:lang w:val="en-US"/>
        </w:rPr>
        <w:t xml:space="preserve"> 2020 </w:t>
      </w:r>
      <w:proofErr w:type="spellStart"/>
      <w:r w:rsidRPr="00AF5FCF">
        <w:rPr>
          <w:rFonts w:ascii="Times New Roman" w:eastAsia="Calibri" w:hAnsi="Times New Roman"/>
          <w:sz w:val="24"/>
          <w:szCs w:val="24"/>
          <w:lang w:val="en-US"/>
        </w:rPr>
        <w:t>kojim</w:t>
      </w:r>
      <w:proofErr w:type="spellEnd"/>
      <w:r w:rsidRPr="00AF5FCF">
        <w:rPr>
          <w:rFonts w:ascii="Times New Roman" w:eastAsia="Calibri" w:hAnsi="Times New Roman"/>
          <w:sz w:val="24"/>
          <w:szCs w:val="24"/>
          <w:lang w:val="en-US"/>
        </w:rPr>
        <w:t xml:space="preserve"> je </w:t>
      </w:r>
      <w:proofErr w:type="spellStart"/>
      <w:r w:rsidRPr="00AF5FCF">
        <w:rPr>
          <w:rFonts w:ascii="Times New Roman" w:eastAsia="Calibri" w:hAnsi="Times New Roman"/>
          <w:sz w:val="24"/>
          <w:szCs w:val="24"/>
          <w:lang w:val="en-US"/>
        </w:rPr>
        <w:t>utvrđeno</w:t>
      </w:r>
      <w:proofErr w:type="spellEnd"/>
      <w:r w:rsidRPr="00AF5FCF">
        <w:rPr>
          <w:rFonts w:ascii="Times New Roman" w:eastAsia="Calibri" w:hAnsi="Times New Roman"/>
          <w:sz w:val="24"/>
          <w:szCs w:val="24"/>
          <w:lang w:val="en-US"/>
        </w:rPr>
        <w:t xml:space="preserve"> da </w:t>
      </w:r>
      <w:proofErr w:type="spellStart"/>
      <w:r w:rsidRPr="00AF5FCF">
        <w:rPr>
          <w:rFonts w:ascii="Times New Roman" w:eastAsia="Calibri" w:hAnsi="Times New Roman"/>
          <w:sz w:val="24"/>
          <w:szCs w:val="24"/>
          <w:lang w:val="en-US"/>
        </w:rPr>
        <w:t>donositelji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politika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diljem</w:t>
      </w:r>
      <w:proofErr w:type="spellEnd"/>
      <w:r w:rsidRPr="00AF5FCF">
        <w:rPr>
          <w:rFonts w:ascii="Times New Roman" w:eastAsia="Calibri" w:hAnsi="Times New Roman"/>
          <w:sz w:val="24"/>
          <w:szCs w:val="24"/>
          <w:lang w:val="en-US"/>
        </w:rPr>
        <w:t xml:space="preserve"> Europe </w:t>
      </w:r>
      <w:proofErr w:type="spellStart"/>
      <w:r w:rsidRPr="00AF5FCF">
        <w:rPr>
          <w:rFonts w:ascii="Times New Roman" w:eastAsia="Calibri" w:hAnsi="Times New Roman"/>
          <w:sz w:val="24"/>
          <w:szCs w:val="24"/>
          <w:lang w:val="en-US"/>
        </w:rPr>
        <w:t>trenutno</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nemaju</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pristup</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dosljednim</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usporedivim</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kvalitetnim</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podacima</w:t>
      </w:r>
      <w:proofErr w:type="spellEnd"/>
      <w:r w:rsidRPr="00AF5FCF">
        <w:rPr>
          <w:rFonts w:ascii="Times New Roman" w:eastAsia="Calibri" w:hAnsi="Times New Roman"/>
          <w:sz w:val="24"/>
          <w:szCs w:val="24"/>
          <w:lang w:val="en-US"/>
        </w:rPr>
        <w:t xml:space="preserve"> o </w:t>
      </w:r>
      <w:proofErr w:type="spellStart"/>
      <w:r w:rsidRPr="00AF5FCF">
        <w:rPr>
          <w:rFonts w:ascii="Times New Roman" w:eastAsia="Calibri" w:hAnsi="Times New Roman"/>
          <w:sz w:val="24"/>
          <w:szCs w:val="24"/>
          <w:lang w:val="en-US"/>
        </w:rPr>
        <w:t>dobrobiti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djece</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mladih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temelju</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kojih</w:t>
      </w:r>
      <w:proofErr w:type="spellEnd"/>
      <w:r w:rsidRPr="00AF5FCF">
        <w:rPr>
          <w:rFonts w:ascii="Times New Roman" w:eastAsia="Calibri" w:hAnsi="Times New Roman"/>
          <w:sz w:val="24"/>
          <w:szCs w:val="24"/>
          <w:lang w:val="en-US"/>
        </w:rPr>
        <w:t xml:space="preserve"> bi </w:t>
      </w:r>
      <w:proofErr w:type="spellStart"/>
      <w:r w:rsidRPr="00AF5FCF">
        <w:rPr>
          <w:rFonts w:ascii="Times New Roman" w:eastAsia="Calibri" w:hAnsi="Times New Roman"/>
          <w:sz w:val="24"/>
          <w:szCs w:val="24"/>
          <w:lang w:val="en-US"/>
        </w:rPr>
        <w:t>mogli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odlučivati</w:t>
      </w:r>
      <w:proofErr w:type="spellEnd"/>
      <w:r w:rsidRPr="00AF5FCF">
        <w:rPr>
          <w:rFonts w:ascii="Times New Roman" w:eastAsia="Calibri" w:hAnsi="Times New Roman"/>
          <w:sz w:val="24"/>
          <w:szCs w:val="24"/>
          <w:lang w:val="en-US"/>
        </w:rPr>
        <w:t>.</w:t>
      </w:r>
      <w:r w:rsidR="00450764">
        <w:rPr>
          <w:rFonts w:ascii="Times New Roman" w:eastAsia="Calibri" w:hAnsi="Times New Roman"/>
          <w:sz w:val="24"/>
          <w:szCs w:val="24"/>
        </w:rPr>
        <w:t xml:space="preserve"> </w:t>
      </w:r>
      <w:proofErr w:type="spellStart"/>
      <w:r w:rsidRPr="00AF5FCF">
        <w:rPr>
          <w:rFonts w:ascii="Times New Roman" w:eastAsia="Calibri" w:hAnsi="Times New Roman"/>
          <w:sz w:val="24"/>
          <w:szCs w:val="24"/>
          <w:lang w:val="en-US"/>
        </w:rPr>
        <w:t>Projekt</w:t>
      </w:r>
      <w:proofErr w:type="spellEnd"/>
      <w:r w:rsidRPr="00AF5FCF">
        <w:rPr>
          <w:rFonts w:ascii="Times New Roman" w:eastAsia="Calibri" w:hAnsi="Times New Roman"/>
          <w:sz w:val="24"/>
          <w:szCs w:val="24"/>
          <w:lang w:val="en-US"/>
        </w:rPr>
        <w:t xml:space="preserve"> GUIDE </w:t>
      </w:r>
      <w:proofErr w:type="spellStart"/>
      <w:r w:rsidRPr="00AF5FCF">
        <w:rPr>
          <w:rFonts w:ascii="Times New Roman" w:eastAsia="Calibri" w:hAnsi="Times New Roman"/>
          <w:sz w:val="24"/>
          <w:szCs w:val="24"/>
          <w:lang w:val="en-US"/>
        </w:rPr>
        <w:t>će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biti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važan</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izvor</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podataka</w:t>
      </w:r>
      <w:proofErr w:type="spellEnd"/>
      <w:r w:rsidRPr="00AF5FCF">
        <w:rPr>
          <w:rFonts w:ascii="Times New Roman" w:eastAsia="Calibri" w:hAnsi="Times New Roman"/>
          <w:sz w:val="24"/>
          <w:szCs w:val="24"/>
          <w:lang w:val="en-US"/>
        </w:rPr>
        <w:t xml:space="preserve"> za </w:t>
      </w:r>
      <w:proofErr w:type="spellStart"/>
      <w:r w:rsidRPr="00AF5FCF">
        <w:rPr>
          <w:rFonts w:ascii="Times New Roman" w:eastAsia="Calibri" w:hAnsi="Times New Roman"/>
          <w:sz w:val="24"/>
          <w:szCs w:val="24"/>
          <w:lang w:val="en-US"/>
        </w:rPr>
        <w:t>razvijanje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socijalnih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politika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usmjerenih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prema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djeci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mladima</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obiteljima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diljem</w:t>
      </w:r>
      <w:proofErr w:type="spellEnd"/>
      <w:r w:rsidRPr="00AF5FCF">
        <w:rPr>
          <w:rFonts w:ascii="Times New Roman" w:eastAsia="Calibri" w:hAnsi="Times New Roman"/>
          <w:sz w:val="24"/>
          <w:szCs w:val="24"/>
          <w:lang w:val="en-US"/>
        </w:rPr>
        <w:t xml:space="preserve"> Europe </w:t>
      </w:r>
      <w:proofErr w:type="spellStart"/>
      <w:r w:rsidRPr="00AF5FCF">
        <w:rPr>
          <w:rFonts w:ascii="Times New Roman" w:eastAsia="Calibri" w:hAnsi="Times New Roman"/>
          <w:sz w:val="24"/>
          <w:szCs w:val="24"/>
          <w:lang w:val="en-US"/>
        </w:rPr>
        <w:t>kroz</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dugi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niz</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godina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Longitudinalno</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kohortno</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istraživanje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koje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će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uključivati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nacionalne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reprezentativne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uzorke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novorođene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djece</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djece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školske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dobi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već</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će</w:t>
      </w:r>
      <w:proofErr w:type="spellEnd"/>
      <w:r w:rsidRPr="00AF5FCF">
        <w:rPr>
          <w:rFonts w:ascii="Times New Roman" w:eastAsia="Calibri" w:hAnsi="Times New Roman"/>
          <w:sz w:val="24"/>
          <w:szCs w:val="24"/>
          <w:lang w:val="en-US"/>
        </w:rPr>
        <w:t xml:space="preserve"> u </w:t>
      </w:r>
      <w:proofErr w:type="spellStart"/>
      <w:r w:rsidRPr="00AF5FCF">
        <w:rPr>
          <w:rFonts w:ascii="Times New Roman" w:eastAsia="Calibri" w:hAnsi="Times New Roman"/>
          <w:sz w:val="24"/>
          <w:szCs w:val="24"/>
          <w:lang w:val="en-US"/>
        </w:rPr>
        <w:t>ranoj</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fazi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prikupljanja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podataka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omogućiti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usporedbe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različitih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dobnih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kohorti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Podaci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prikupljeni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kroz</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idući</w:t>
      </w:r>
      <w:proofErr w:type="spellEnd"/>
      <w:r w:rsidRPr="00AF5FCF">
        <w:rPr>
          <w:rFonts w:ascii="Times New Roman" w:eastAsia="Calibri" w:hAnsi="Times New Roman"/>
          <w:sz w:val="24"/>
          <w:szCs w:val="24"/>
          <w:lang w:val="en-US"/>
        </w:rPr>
        <w:t xml:space="preserve"> period </w:t>
      </w:r>
      <w:proofErr w:type="spellStart"/>
      <w:r w:rsidRPr="00AF5FCF">
        <w:rPr>
          <w:rFonts w:ascii="Times New Roman" w:eastAsia="Calibri" w:hAnsi="Times New Roman"/>
          <w:sz w:val="24"/>
          <w:szCs w:val="24"/>
          <w:lang w:val="en-US"/>
        </w:rPr>
        <w:t>osigurat</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će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praćenje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razvoja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djece</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mladih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lastRenderedPageBreak/>
        <w:t>te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dati</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podlogu</w:t>
      </w:r>
      <w:proofErr w:type="spellEnd"/>
      <w:r w:rsidRPr="00AF5FCF">
        <w:rPr>
          <w:rFonts w:ascii="Times New Roman" w:eastAsia="Calibri" w:hAnsi="Times New Roman"/>
          <w:sz w:val="24"/>
          <w:szCs w:val="24"/>
          <w:lang w:val="en-US"/>
        </w:rPr>
        <w:t xml:space="preserve"> za </w:t>
      </w:r>
      <w:proofErr w:type="spellStart"/>
      <w:r w:rsidRPr="00AF5FCF">
        <w:rPr>
          <w:rFonts w:ascii="Times New Roman" w:eastAsia="Calibri" w:hAnsi="Times New Roman"/>
          <w:sz w:val="24"/>
          <w:szCs w:val="24"/>
          <w:lang w:val="en-US"/>
        </w:rPr>
        <w:t>vrednovanje</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različitih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socijalnih</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intervencija</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politika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kako</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nacionalnoj</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tako</w:t>
      </w:r>
      <w:proofErr w:type="spellEnd"/>
      <w:r w:rsidRPr="00AF5FCF">
        <w:rPr>
          <w:rFonts w:ascii="Times New Roman" w:eastAsia="Calibri" w:hAnsi="Times New Roman"/>
          <w:sz w:val="24"/>
          <w:szCs w:val="24"/>
          <w:lang w:val="en-US"/>
        </w:rPr>
        <w:t xml:space="preserve"> i </w:t>
      </w:r>
      <w:proofErr w:type="spellStart"/>
      <w:r w:rsidRPr="00AF5FCF">
        <w:rPr>
          <w:rFonts w:ascii="Times New Roman" w:eastAsia="Calibri" w:hAnsi="Times New Roman"/>
          <w:sz w:val="24"/>
          <w:szCs w:val="24"/>
          <w:lang w:val="en-US"/>
        </w:rPr>
        <w:t>na</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europskoj</w:t>
      </w:r>
      <w:proofErr w:type="spellEnd"/>
      <w:r w:rsidRPr="00AF5FCF">
        <w:rPr>
          <w:rFonts w:ascii="Times New Roman" w:eastAsia="Calibri" w:hAnsi="Times New Roman"/>
          <w:sz w:val="24"/>
          <w:szCs w:val="24"/>
          <w:lang w:val="en-US"/>
        </w:rPr>
        <w:t xml:space="preserve"> </w:t>
      </w:r>
      <w:proofErr w:type="spellStart"/>
      <w:r w:rsidRPr="00AF5FCF">
        <w:rPr>
          <w:rFonts w:ascii="Times New Roman" w:eastAsia="Calibri" w:hAnsi="Times New Roman"/>
          <w:sz w:val="24"/>
          <w:szCs w:val="24"/>
          <w:lang w:val="en-US"/>
        </w:rPr>
        <w:t>razini</w:t>
      </w:r>
      <w:proofErr w:type="spellEnd"/>
      <w:r w:rsidRPr="00AF5FCF">
        <w:rPr>
          <w:rFonts w:ascii="Times New Roman" w:eastAsia="Calibri" w:hAnsi="Times New Roman"/>
          <w:sz w:val="24"/>
          <w:szCs w:val="24"/>
          <w:lang w:val="en-US"/>
        </w:rPr>
        <w:t xml:space="preserve">. </w:t>
      </w:r>
    </w:p>
    <w:p w14:paraId="759771C3" w14:textId="77777777" w:rsidR="00AF5FCF" w:rsidRPr="00AF5FCF" w:rsidRDefault="00AF5FCF" w:rsidP="00AF5FCF">
      <w:pPr>
        <w:spacing w:after="160" w:line="256" w:lineRule="auto"/>
        <w:jc w:val="both"/>
        <w:rPr>
          <w:rFonts w:ascii="Times New Roman" w:eastAsia="Calibri" w:hAnsi="Times New Roman"/>
          <w:b/>
          <w:bCs/>
          <w:sz w:val="24"/>
          <w:szCs w:val="24"/>
        </w:rPr>
      </w:pPr>
    </w:p>
    <w:p w14:paraId="4DF44B5D" w14:textId="77777777" w:rsidR="00AF5FCF" w:rsidRPr="00AF5FCF" w:rsidRDefault="00AF5FCF" w:rsidP="00AF5FCF">
      <w:pPr>
        <w:spacing w:after="160" w:line="256" w:lineRule="auto"/>
        <w:jc w:val="both"/>
        <w:rPr>
          <w:rFonts w:ascii="Times New Roman" w:eastAsia="Calibri" w:hAnsi="Times New Roman"/>
          <w:b/>
          <w:bCs/>
          <w:sz w:val="24"/>
          <w:szCs w:val="24"/>
        </w:rPr>
      </w:pPr>
      <w:r w:rsidRPr="00AF5FCF">
        <w:rPr>
          <w:rFonts w:ascii="Times New Roman" w:eastAsia="Calibri" w:hAnsi="Times New Roman"/>
          <w:b/>
          <w:bCs/>
          <w:sz w:val="24"/>
          <w:szCs w:val="24"/>
        </w:rPr>
        <w:t>Naziv projekta: Learning how to Teach, Teaching how to Learn. Facing Challenges of Global Change in Higher Education Using Digital Tools for Reflective, Critical and Inclusive Learning on European Historical Landscapes.– EDiToR</w:t>
      </w:r>
    </w:p>
    <w:p w14:paraId="7117C87C" w14:textId="62F9FB29" w:rsidR="00AF5FCF" w:rsidRPr="00AF5FCF" w:rsidRDefault="00AF5FCF" w:rsidP="00AF5FCF">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 xml:space="preserve">Svrha projekta je pronaći rješenje za trenutne izazove u obrazovanju, ne samo po pitanju uporabe novih tehnologija, nego i za one direktnije uzrokovane pandemijom virusa COVID-19. Ciljevi su: stvoriti interaktivni i otvoreni online tečaj fokusiran na europske povijesne pejzaže, koristeći multidisciplinarni pristup. Projekt je započeo 1. ožujka 2021. i predviđeni završetak je 28. veljače 2023. Ukupna vrijednost projekta iznosi 152.980,00 EUR. </w:t>
      </w:r>
    </w:p>
    <w:p w14:paraId="12C2B1C4" w14:textId="6FC2DD27" w:rsidR="00AF5FCF" w:rsidRDefault="00AF5FCF" w:rsidP="00450764">
      <w:pPr>
        <w:spacing w:after="176" w:line="252" w:lineRule="auto"/>
        <w:ind w:right="4"/>
        <w:jc w:val="both"/>
        <w:rPr>
          <w:rFonts w:ascii="Times New Roman" w:hAnsi="Times New Roman"/>
          <w:sz w:val="24"/>
          <w:szCs w:val="24"/>
        </w:rPr>
      </w:pPr>
    </w:p>
    <w:p w14:paraId="21AB2605" w14:textId="77777777" w:rsidR="00423FF4" w:rsidRDefault="00423FF4" w:rsidP="00450764">
      <w:pPr>
        <w:spacing w:after="176" w:line="252" w:lineRule="auto"/>
        <w:ind w:right="4"/>
        <w:jc w:val="both"/>
        <w:rPr>
          <w:rFonts w:ascii="Times New Roman" w:hAnsi="Times New Roman"/>
          <w:sz w:val="24"/>
          <w:szCs w:val="24"/>
        </w:rPr>
      </w:pPr>
    </w:p>
    <w:p w14:paraId="66D7E090" w14:textId="77CD661D" w:rsidR="00423FF4" w:rsidRDefault="00423FF4" w:rsidP="00450764">
      <w:pPr>
        <w:spacing w:after="160" w:line="256" w:lineRule="auto"/>
        <w:jc w:val="both"/>
        <w:rPr>
          <w:rFonts w:ascii="Times New Roman" w:eastAsia="Calibri" w:hAnsi="Times New Roman"/>
          <w:b/>
          <w:bCs/>
          <w:i/>
          <w:iCs/>
          <w:sz w:val="24"/>
          <w:szCs w:val="24"/>
        </w:rPr>
      </w:pPr>
      <w:r w:rsidRPr="00423FF4">
        <w:rPr>
          <w:rFonts w:ascii="Times New Roman" w:eastAsia="Calibri" w:hAnsi="Times New Roman"/>
          <w:b/>
          <w:bCs/>
          <w:i/>
          <w:iCs/>
          <w:sz w:val="24"/>
          <w:szCs w:val="24"/>
        </w:rPr>
        <w:t xml:space="preserve">Aktivnost K679106 </w:t>
      </w:r>
      <w:r w:rsidR="000A0E1A">
        <w:rPr>
          <w:rFonts w:ascii="Times New Roman" w:eastAsia="Calibri" w:hAnsi="Times New Roman"/>
          <w:b/>
          <w:bCs/>
          <w:i/>
          <w:iCs/>
          <w:sz w:val="24"/>
          <w:szCs w:val="24"/>
        </w:rPr>
        <w:t>OP UČINKOVITI LJUDSKI POTENCIJALI 2014. - 2020., PRIORITET 3 (</w:t>
      </w:r>
      <w:r w:rsidRPr="00423FF4">
        <w:rPr>
          <w:rFonts w:ascii="Times New Roman" w:eastAsia="Calibri" w:hAnsi="Times New Roman"/>
          <w:b/>
          <w:bCs/>
          <w:i/>
          <w:iCs/>
          <w:sz w:val="24"/>
          <w:szCs w:val="24"/>
        </w:rPr>
        <w:t>Razvoj, unapređenje i provedba stručne prakse u visokom obrazovanju</w:t>
      </w:r>
      <w:r w:rsidR="004D35E2">
        <w:rPr>
          <w:rFonts w:ascii="Times New Roman" w:eastAsia="Calibri" w:hAnsi="Times New Roman"/>
          <w:b/>
          <w:bCs/>
          <w:i/>
          <w:iCs/>
          <w:sz w:val="24"/>
          <w:szCs w:val="24"/>
        </w:rPr>
        <w:t xml:space="preserve"> </w:t>
      </w:r>
    </w:p>
    <w:p w14:paraId="5FB8A270" w14:textId="77777777" w:rsidR="00CA176C" w:rsidRPr="00423FF4" w:rsidRDefault="00CA176C" w:rsidP="00450764">
      <w:pPr>
        <w:spacing w:after="160" w:line="256" w:lineRule="auto"/>
        <w:jc w:val="both"/>
        <w:rPr>
          <w:rFonts w:ascii="Times New Roman" w:eastAsia="Calibri" w:hAnsi="Times New Roman"/>
          <w:b/>
          <w:bCs/>
          <w:i/>
          <w:iCs/>
          <w:sz w:val="24"/>
          <w:szCs w:val="24"/>
        </w:rPr>
      </w:pPr>
    </w:p>
    <w:p w14:paraId="55120FDB" w14:textId="6F211CA2" w:rsidR="00450764" w:rsidRPr="00AF5FCF" w:rsidRDefault="005D545C" w:rsidP="00450764">
      <w:pPr>
        <w:spacing w:after="160" w:line="256" w:lineRule="auto"/>
        <w:jc w:val="both"/>
        <w:rPr>
          <w:rFonts w:ascii="Times New Roman" w:eastAsia="Calibri" w:hAnsi="Times New Roman"/>
          <w:b/>
          <w:bCs/>
          <w:sz w:val="24"/>
          <w:szCs w:val="24"/>
        </w:rPr>
      </w:pPr>
      <w:r>
        <w:rPr>
          <w:rFonts w:ascii="Times New Roman" w:eastAsia="Calibri" w:hAnsi="Times New Roman"/>
          <w:b/>
          <w:bCs/>
          <w:sz w:val="24"/>
          <w:szCs w:val="24"/>
        </w:rPr>
        <w:t xml:space="preserve">Projekt </w:t>
      </w:r>
      <w:r w:rsidR="00450764" w:rsidRPr="00AF5FCF">
        <w:rPr>
          <w:rFonts w:ascii="Times New Roman" w:eastAsia="Calibri" w:hAnsi="Times New Roman"/>
          <w:b/>
          <w:bCs/>
          <w:sz w:val="24"/>
          <w:szCs w:val="24"/>
        </w:rPr>
        <w:t>Učenje kroz rad i sustav upravljanja studentskim iskustvom na Filozofskom fakultetu u Zagrebu</w:t>
      </w:r>
    </w:p>
    <w:p w14:paraId="2F1A1DB7" w14:textId="72A3740F" w:rsidR="00CA176C" w:rsidRPr="00CA176C" w:rsidRDefault="00450764" w:rsidP="00CA176C">
      <w:pPr>
        <w:spacing w:after="160" w:line="256" w:lineRule="auto"/>
        <w:jc w:val="both"/>
        <w:rPr>
          <w:rFonts w:ascii="Times New Roman" w:eastAsia="Calibri" w:hAnsi="Times New Roman"/>
          <w:sz w:val="24"/>
          <w:szCs w:val="24"/>
        </w:rPr>
      </w:pPr>
      <w:r w:rsidRPr="00AF5FCF">
        <w:rPr>
          <w:rFonts w:ascii="Times New Roman" w:eastAsia="Calibri" w:hAnsi="Times New Roman"/>
          <w:sz w:val="24"/>
          <w:szCs w:val="24"/>
        </w:rPr>
        <w:t>U okviru projekta minimalno 500 studenata preddiplomskih i diplomskih studija će sudjelovati u različitim oblicima stručne prakse, uvest će se stručna praksa u ishode i aktivnosti minimalno 15 obveznih i izbornih kolegija te će se educirati minimalno 70 nastavnog i nenastavnog osoblja za provedbu i vrednovanje stručne prakse. Uspostavit će se suradnja s mentorima i poslodavcima. Kako bi rezultati bili održivi provest će se reorganizacija i podizanje kapaciteta studentskih službi za organizaciju stručne prakse i pružanje odgovarajućih usluga studentima.</w:t>
      </w:r>
      <w:r w:rsidR="00117979">
        <w:rPr>
          <w:rFonts w:ascii="Times New Roman" w:eastAsia="Calibri" w:hAnsi="Times New Roman"/>
          <w:sz w:val="24"/>
          <w:szCs w:val="24"/>
        </w:rPr>
        <w:t xml:space="preserve"> </w:t>
      </w:r>
      <w:r w:rsidR="00CA176C" w:rsidRPr="00CA176C">
        <w:rPr>
          <w:rFonts w:ascii="Times New Roman" w:eastAsia="Calibri" w:hAnsi="Times New Roman"/>
          <w:sz w:val="24"/>
          <w:szCs w:val="24"/>
        </w:rPr>
        <w:t>Svrha projekta je razvoj integriranog sustava učenja kroz rad i stjecanja stručnog praktičnog iskustva studenata Filozofskog fakulteta u Zagrebu u sklopu preddiplomskih i diplomskih studija.</w:t>
      </w:r>
      <w:r w:rsidR="005D545C">
        <w:rPr>
          <w:rFonts w:ascii="Times New Roman" w:eastAsia="Calibri" w:hAnsi="Times New Roman"/>
          <w:sz w:val="24"/>
          <w:szCs w:val="24"/>
        </w:rPr>
        <w:t xml:space="preserve"> </w:t>
      </w:r>
      <w:r w:rsidR="00CA176C" w:rsidRPr="00CA176C">
        <w:rPr>
          <w:rFonts w:ascii="Times New Roman" w:eastAsia="Calibri" w:hAnsi="Times New Roman"/>
          <w:sz w:val="24"/>
          <w:szCs w:val="24"/>
        </w:rPr>
        <w:t>Ciljevi:</w:t>
      </w:r>
      <w:r w:rsidR="005D545C">
        <w:rPr>
          <w:rFonts w:ascii="Times New Roman" w:eastAsia="Calibri" w:hAnsi="Times New Roman"/>
          <w:sz w:val="24"/>
          <w:szCs w:val="24"/>
        </w:rPr>
        <w:t xml:space="preserve"> o</w:t>
      </w:r>
      <w:r w:rsidR="00CA176C" w:rsidRPr="00CA176C">
        <w:rPr>
          <w:rFonts w:ascii="Times New Roman" w:eastAsia="Calibri" w:hAnsi="Times New Roman"/>
          <w:sz w:val="24"/>
          <w:szCs w:val="24"/>
        </w:rPr>
        <w:t>jačati kapacitet i unaprijediti rad studentskih službi za potporu i učenje kroz rad</w:t>
      </w:r>
      <w:r w:rsidR="005D545C">
        <w:rPr>
          <w:rFonts w:ascii="Times New Roman" w:eastAsia="Calibri" w:hAnsi="Times New Roman"/>
          <w:sz w:val="24"/>
          <w:szCs w:val="24"/>
        </w:rPr>
        <w:t>; o</w:t>
      </w:r>
      <w:r w:rsidR="00CA176C" w:rsidRPr="00CA176C">
        <w:rPr>
          <w:rFonts w:ascii="Times New Roman" w:eastAsia="Calibri" w:hAnsi="Times New Roman"/>
          <w:sz w:val="24"/>
          <w:szCs w:val="24"/>
        </w:rPr>
        <w:t>sigurati kvalitetniju studentsku praksu za studente nastavničkih smjerova te povećati broj studenata nenastavničkih smjerova koji su sudjelovali u stručnoj praksi i učenju kroz rad</w:t>
      </w:r>
      <w:r w:rsidR="005D545C">
        <w:rPr>
          <w:rFonts w:ascii="Times New Roman" w:eastAsia="Calibri" w:hAnsi="Times New Roman"/>
          <w:sz w:val="24"/>
          <w:szCs w:val="24"/>
        </w:rPr>
        <w:t xml:space="preserve"> i p</w:t>
      </w:r>
      <w:r w:rsidR="00CA176C" w:rsidRPr="00CA176C">
        <w:rPr>
          <w:rFonts w:ascii="Times New Roman" w:eastAsia="Calibri" w:hAnsi="Times New Roman"/>
          <w:sz w:val="24"/>
          <w:szCs w:val="24"/>
        </w:rPr>
        <w:t>ovećati broj obaveznih i izbornih kolegija koji uključuju različite oblike učenja kroz rad te educirati nastavnike o metodama provedbe i evaluacije ishoda koji se stječu učenjem kroz rad.</w:t>
      </w:r>
    </w:p>
    <w:p w14:paraId="30054418" w14:textId="77777777" w:rsidR="00450764" w:rsidRPr="00D84A60" w:rsidRDefault="00450764" w:rsidP="00450764">
      <w:pPr>
        <w:spacing w:after="176" w:line="252" w:lineRule="auto"/>
        <w:ind w:right="4"/>
        <w:jc w:val="both"/>
        <w:rPr>
          <w:rFonts w:ascii="Times New Roman" w:hAnsi="Times New Roman"/>
          <w:sz w:val="24"/>
          <w:szCs w:val="24"/>
        </w:rPr>
      </w:pPr>
    </w:p>
    <w:p w14:paraId="64FFE620" w14:textId="77777777" w:rsidR="00ED32E7" w:rsidRPr="00D84A60" w:rsidRDefault="00ED32E7" w:rsidP="00ED32E7">
      <w:pPr>
        <w:spacing w:after="176" w:line="252" w:lineRule="auto"/>
        <w:ind w:right="4"/>
        <w:jc w:val="both"/>
        <w:rPr>
          <w:rFonts w:ascii="Times New Roman" w:hAnsi="Times New Roman"/>
          <w:sz w:val="24"/>
          <w:szCs w:val="24"/>
        </w:rPr>
      </w:pPr>
    </w:p>
    <w:p w14:paraId="482C58DA" w14:textId="59AAC09E" w:rsidR="00ED32E7" w:rsidRPr="00D84A60" w:rsidRDefault="006E0B16" w:rsidP="00ED32E7">
      <w:pPr>
        <w:rPr>
          <w:rFonts w:ascii="Times New Roman" w:hAnsi="Times New Roman"/>
          <w:bCs/>
          <w:sz w:val="24"/>
          <w:szCs w:val="24"/>
        </w:rPr>
      </w:pPr>
      <w:r>
        <w:rPr>
          <w:rFonts w:ascii="Times New Roman" w:hAnsi="Times New Roman"/>
          <w:bCs/>
          <w:sz w:val="24"/>
          <w:szCs w:val="24"/>
        </w:rPr>
        <w:t xml:space="preserve">U </w:t>
      </w:r>
      <w:r w:rsidR="00ED32E7" w:rsidRPr="00D84A60">
        <w:rPr>
          <w:rFonts w:ascii="Times New Roman" w:hAnsi="Times New Roman"/>
          <w:bCs/>
          <w:sz w:val="24"/>
          <w:szCs w:val="24"/>
        </w:rPr>
        <w:t>Zagreb</w:t>
      </w:r>
      <w:r>
        <w:rPr>
          <w:rFonts w:ascii="Times New Roman" w:hAnsi="Times New Roman"/>
          <w:bCs/>
          <w:sz w:val="24"/>
          <w:szCs w:val="24"/>
        </w:rPr>
        <w:t>u</w:t>
      </w:r>
      <w:r w:rsidR="00ED32E7" w:rsidRPr="00D84A60">
        <w:rPr>
          <w:rFonts w:ascii="Times New Roman" w:hAnsi="Times New Roman"/>
          <w:bCs/>
          <w:sz w:val="24"/>
          <w:szCs w:val="24"/>
        </w:rPr>
        <w:t xml:space="preserve">, </w:t>
      </w:r>
      <w:r w:rsidR="00830002">
        <w:rPr>
          <w:rFonts w:ascii="Times New Roman" w:hAnsi="Times New Roman"/>
          <w:bCs/>
          <w:sz w:val="24"/>
          <w:szCs w:val="24"/>
        </w:rPr>
        <w:t>09</w:t>
      </w:r>
      <w:r>
        <w:rPr>
          <w:rFonts w:ascii="Times New Roman" w:hAnsi="Times New Roman"/>
          <w:bCs/>
          <w:sz w:val="24"/>
          <w:szCs w:val="24"/>
        </w:rPr>
        <w:t>.</w:t>
      </w:r>
      <w:r w:rsidR="00ED32E7" w:rsidRPr="00D84A60">
        <w:rPr>
          <w:rFonts w:ascii="Times New Roman" w:hAnsi="Times New Roman"/>
          <w:bCs/>
          <w:sz w:val="24"/>
          <w:szCs w:val="24"/>
        </w:rPr>
        <w:t xml:space="preserve"> </w:t>
      </w:r>
      <w:r w:rsidR="00830002">
        <w:rPr>
          <w:rFonts w:ascii="Times New Roman" w:hAnsi="Times New Roman"/>
          <w:bCs/>
          <w:sz w:val="24"/>
          <w:szCs w:val="24"/>
        </w:rPr>
        <w:t>prosinca</w:t>
      </w:r>
      <w:r w:rsidR="00ED32E7" w:rsidRPr="00D84A60">
        <w:rPr>
          <w:rFonts w:ascii="Times New Roman" w:hAnsi="Times New Roman"/>
          <w:bCs/>
          <w:sz w:val="24"/>
          <w:szCs w:val="24"/>
        </w:rPr>
        <w:t xml:space="preserve"> 2022.</w:t>
      </w:r>
    </w:p>
    <w:p w14:paraId="68598D5E" w14:textId="77777777" w:rsidR="00ED18F2" w:rsidRPr="00D84A60" w:rsidRDefault="00ED18F2" w:rsidP="00AF2849">
      <w:pPr>
        <w:rPr>
          <w:rFonts w:ascii="Times New Roman" w:hAnsi="Times New Roman"/>
          <w:sz w:val="24"/>
          <w:szCs w:val="24"/>
        </w:rPr>
      </w:pPr>
    </w:p>
    <w:p w14:paraId="4E9137BF" w14:textId="77777777" w:rsidR="00434FD8" w:rsidRPr="00D84A60" w:rsidRDefault="00434FD8" w:rsidP="00AF2849">
      <w:pPr>
        <w:rPr>
          <w:rFonts w:ascii="Times New Roman" w:hAnsi="Times New Roman"/>
          <w:sz w:val="24"/>
          <w:szCs w:val="24"/>
        </w:rPr>
      </w:pPr>
      <w:r w:rsidRPr="00D84A60">
        <w:rPr>
          <w:rFonts w:ascii="Times New Roman" w:hAnsi="Times New Roman"/>
          <w:sz w:val="24"/>
          <w:szCs w:val="24"/>
        </w:rPr>
        <w:t xml:space="preserve">                                                                                                                          Dekan:</w:t>
      </w:r>
    </w:p>
    <w:p w14:paraId="34148A1B" w14:textId="77777777" w:rsidR="00434FD8" w:rsidRPr="00D84A60" w:rsidRDefault="00434FD8" w:rsidP="00AF2849">
      <w:pPr>
        <w:rPr>
          <w:rFonts w:ascii="Times New Roman" w:hAnsi="Times New Roman"/>
          <w:sz w:val="24"/>
          <w:szCs w:val="24"/>
        </w:rPr>
      </w:pPr>
    </w:p>
    <w:p w14:paraId="130300FB" w14:textId="77777777" w:rsidR="00434FD8" w:rsidRPr="00D84A60" w:rsidRDefault="00434FD8" w:rsidP="00AF2849">
      <w:pPr>
        <w:rPr>
          <w:rFonts w:ascii="Times New Roman" w:hAnsi="Times New Roman"/>
          <w:sz w:val="24"/>
          <w:szCs w:val="24"/>
        </w:rPr>
      </w:pPr>
      <w:r w:rsidRPr="00D84A60">
        <w:rPr>
          <w:rFonts w:ascii="Times New Roman" w:hAnsi="Times New Roman"/>
          <w:sz w:val="24"/>
          <w:szCs w:val="24"/>
        </w:rPr>
        <w:t xml:space="preserve">                                                                                         </w:t>
      </w:r>
      <w:r w:rsidR="00ED32E7" w:rsidRPr="00D84A60">
        <w:rPr>
          <w:rFonts w:ascii="Times New Roman" w:hAnsi="Times New Roman"/>
          <w:sz w:val="24"/>
          <w:szCs w:val="24"/>
        </w:rPr>
        <w:t xml:space="preserve">                     </w:t>
      </w:r>
      <w:r w:rsidRPr="00D84A60">
        <w:rPr>
          <w:rFonts w:ascii="Times New Roman" w:hAnsi="Times New Roman"/>
          <w:sz w:val="24"/>
          <w:szCs w:val="24"/>
        </w:rPr>
        <w:t xml:space="preserve"> ____________________________</w:t>
      </w:r>
    </w:p>
    <w:p w14:paraId="7549687C" w14:textId="59F900EA" w:rsidR="00434FD8" w:rsidRPr="00D84A60" w:rsidRDefault="00434FD8" w:rsidP="00434FD8">
      <w:pPr>
        <w:spacing w:before="120"/>
        <w:rPr>
          <w:rFonts w:ascii="Times New Roman" w:hAnsi="Times New Roman"/>
          <w:sz w:val="24"/>
          <w:szCs w:val="24"/>
        </w:rPr>
      </w:pPr>
      <w:r w:rsidRPr="00D84A60">
        <w:rPr>
          <w:rFonts w:ascii="Times New Roman" w:hAnsi="Times New Roman"/>
          <w:sz w:val="24"/>
          <w:szCs w:val="24"/>
        </w:rPr>
        <w:t xml:space="preserve">               </w:t>
      </w:r>
      <w:r w:rsidR="008E03ED">
        <w:rPr>
          <w:rFonts w:ascii="Times New Roman" w:hAnsi="Times New Roman"/>
          <w:sz w:val="24"/>
          <w:szCs w:val="24"/>
        </w:rPr>
        <w:t xml:space="preserve">                                                                                                  Izv. prof. dr .sc. </w:t>
      </w:r>
      <w:r w:rsidR="00AE74E6">
        <w:rPr>
          <w:rFonts w:ascii="Times New Roman" w:hAnsi="Times New Roman"/>
          <w:sz w:val="24"/>
          <w:szCs w:val="24"/>
        </w:rPr>
        <w:t>Domagoj Tonč</w:t>
      </w:r>
      <w:r w:rsidR="00531400">
        <w:rPr>
          <w:rFonts w:ascii="Times New Roman" w:hAnsi="Times New Roman"/>
          <w:sz w:val="24"/>
          <w:szCs w:val="24"/>
        </w:rPr>
        <w:t>inić</w:t>
      </w:r>
      <w:r w:rsidRPr="00D84A60">
        <w:rPr>
          <w:rFonts w:ascii="Times New Roman" w:hAnsi="Times New Roman"/>
          <w:sz w:val="24"/>
          <w:szCs w:val="24"/>
        </w:rPr>
        <w:t xml:space="preserve">                               </w:t>
      </w:r>
    </w:p>
    <w:sectPr w:rsidR="00434FD8" w:rsidRPr="00D84A60" w:rsidSect="004721C3">
      <w:headerReference w:type="even" r:id="rId8"/>
      <w:footerReference w:type="default" r:id="rId9"/>
      <w:headerReference w:type="first" r:id="rId10"/>
      <w:footerReference w:type="first" r:id="rId11"/>
      <w:pgSz w:w="11900" w:h="16840"/>
      <w:pgMar w:top="737" w:right="851" w:bottom="737" w:left="851" w:header="709" w:footer="1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D4CD" w14:textId="77777777" w:rsidR="00995B12" w:rsidRDefault="00995B12" w:rsidP="00200D55">
      <w:r>
        <w:separator/>
      </w:r>
    </w:p>
  </w:endnote>
  <w:endnote w:type="continuationSeparator" w:id="0">
    <w:p w14:paraId="05852235" w14:textId="77777777" w:rsidR="00995B12" w:rsidRDefault="00995B12" w:rsidP="0020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Light Italic">
    <w:altName w:val="Franklin Gothic Medium Cond"/>
    <w:charset w:val="00"/>
    <w:family w:val="auto"/>
    <w:pitch w:val="variable"/>
    <w:sig w:usb0="00000001" w:usb1="4000205B" w:usb2="00000028" w:usb3="00000000" w:csb0="0000019F" w:csb1="00000000"/>
  </w:font>
  <w:font w:name="Open Sans Bold">
    <w:altName w:val="Segoe UI Semibold"/>
    <w:charset w:val="00"/>
    <w:family w:val="auto"/>
    <w:pitch w:val="variable"/>
    <w:sig w:usb0="00000001" w:usb1="4000205B" w:usb2="00000028" w:usb3="00000000" w:csb0="000001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28"/>
        <w:szCs w:val="28"/>
      </w:rPr>
      <w:id w:val="732513911"/>
      <w:docPartObj>
        <w:docPartGallery w:val="Page Numbers (Bottom of Page)"/>
        <w:docPartUnique/>
      </w:docPartObj>
    </w:sdtPr>
    <w:sdtEndPr/>
    <w:sdtContent>
      <w:p w14:paraId="15FA304C" w14:textId="77777777" w:rsidR="004721C3" w:rsidRPr="004721C3" w:rsidRDefault="004721C3">
        <w:pPr>
          <w:pStyle w:val="Footer"/>
          <w:jc w:val="right"/>
          <w:rPr>
            <w:color w:val="auto"/>
            <w:sz w:val="28"/>
            <w:szCs w:val="28"/>
          </w:rPr>
        </w:pPr>
        <w:r w:rsidRPr="004721C3">
          <w:rPr>
            <w:color w:val="auto"/>
            <w:sz w:val="28"/>
            <w:szCs w:val="28"/>
          </w:rPr>
          <w:fldChar w:fldCharType="begin"/>
        </w:r>
        <w:r w:rsidRPr="004721C3">
          <w:rPr>
            <w:color w:val="auto"/>
            <w:sz w:val="28"/>
            <w:szCs w:val="28"/>
          </w:rPr>
          <w:instrText>PAGE   \* MERGEFORMAT</w:instrText>
        </w:r>
        <w:r w:rsidRPr="004721C3">
          <w:rPr>
            <w:color w:val="auto"/>
            <w:sz w:val="28"/>
            <w:szCs w:val="28"/>
          </w:rPr>
          <w:fldChar w:fldCharType="separate"/>
        </w:r>
        <w:r w:rsidR="002E0413" w:rsidRPr="002E0413">
          <w:rPr>
            <w:noProof/>
            <w:color w:val="auto"/>
            <w:sz w:val="28"/>
            <w:szCs w:val="28"/>
            <w:lang w:val="hr-HR"/>
          </w:rPr>
          <w:t>8</w:t>
        </w:r>
        <w:r w:rsidRPr="004721C3">
          <w:rPr>
            <w:color w:val="auto"/>
            <w:sz w:val="28"/>
            <w:szCs w:val="28"/>
          </w:rPr>
          <w:fldChar w:fldCharType="end"/>
        </w:r>
      </w:p>
    </w:sdtContent>
  </w:sdt>
  <w:p w14:paraId="3A1B87E9" w14:textId="77777777" w:rsidR="004928A4" w:rsidRDefault="00492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B2B7" w14:textId="77777777" w:rsidR="004928A4" w:rsidRDefault="004928A4" w:rsidP="0082617D">
    <w:pPr>
      <w:pStyle w:val="Footer"/>
      <w:tabs>
        <w:tab w:val="clear" w:pos="4320"/>
        <w:tab w:val="clear" w:pos="8640"/>
        <w:tab w:val="left" w:pos="5850"/>
      </w:tabs>
      <w:rPr>
        <w:noProof/>
        <w:sz w:val="18"/>
        <w:szCs w:val="18"/>
        <w:lang w:val="hr-HR" w:eastAsia="hr-HR"/>
      </w:rPr>
    </w:pPr>
    <w:r>
      <w:rPr>
        <w:noProof/>
        <w:lang w:val="hr-HR" w:eastAsia="hr-HR"/>
      </w:rPr>
      <w:t xml:space="preserve"> </w:t>
    </w:r>
    <w:r>
      <w:rPr>
        <w:noProof/>
        <w:lang w:val="hr-HR" w:eastAsia="hr-H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1528" w14:textId="77777777" w:rsidR="00995B12" w:rsidRDefault="00995B12" w:rsidP="00200D55">
      <w:r>
        <w:separator/>
      </w:r>
    </w:p>
  </w:footnote>
  <w:footnote w:type="continuationSeparator" w:id="0">
    <w:p w14:paraId="377666F0" w14:textId="77777777" w:rsidR="00995B12" w:rsidRDefault="00995B12" w:rsidP="0020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7845" w14:textId="77777777" w:rsidR="004928A4" w:rsidRDefault="004928A4" w:rsidP="00200D55">
    <w:pPr>
      <w:pStyle w:val="Header"/>
      <w:tabs>
        <w:tab w:val="clear" w:pos="4320"/>
        <w:tab w:val="clear" w:pos="8640"/>
        <w:tab w:val="center" w:pos="4268"/>
        <w:tab w:val="right" w:pos="8537"/>
      </w:tabs>
    </w:pPr>
    <w:r>
      <w:t>[Type text]</w:t>
    </w:r>
    <w:r>
      <w:tab/>
      <w:t>[Type text]</w:t>
    </w:r>
    <w:r>
      <w:tab/>
      <w:t>[Type text]</w:t>
    </w:r>
  </w:p>
  <w:p w14:paraId="77B2AB4E" w14:textId="77777777" w:rsidR="004928A4" w:rsidRDefault="00492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67F2" w14:textId="77777777" w:rsidR="004928A4" w:rsidRDefault="004928A4" w:rsidP="00B049CE">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FAC"/>
    <w:multiLevelType w:val="hybridMultilevel"/>
    <w:tmpl w:val="68EA3B6C"/>
    <w:lvl w:ilvl="0" w:tplc="2D1E22BA">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699E">
      <w:start w:val="1"/>
      <w:numFmt w:val="bullet"/>
      <w:lvlText w:val="o"/>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43234">
      <w:start w:val="1"/>
      <w:numFmt w:val="bullet"/>
      <w:lvlText w:val="▪"/>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2BC30">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00428">
      <w:start w:val="1"/>
      <w:numFmt w:val="bullet"/>
      <w:lvlText w:val="o"/>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4A84A">
      <w:start w:val="1"/>
      <w:numFmt w:val="bullet"/>
      <w:lvlText w:val="▪"/>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67246">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4BDD0">
      <w:start w:val="1"/>
      <w:numFmt w:val="bullet"/>
      <w:lvlText w:val="o"/>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4026A">
      <w:start w:val="1"/>
      <w:numFmt w:val="bullet"/>
      <w:lvlText w:val="▪"/>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2" w15:restartNumberingAfterBreak="0">
    <w:nsid w:val="0BBD1074"/>
    <w:multiLevelType w:val="hybridMultilevel"/>
    <w:tmpl w:val="DC345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1853D5"/>
    <w:multiLevelType w:val="hybridMultilevel"/>
    <w:tmpl w:val="CDB4E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F14041"/>
    <w:multiLevelType w:val="hybridMultilevel"/>
    <w:tmpl w:val="7AE87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F86DA0"/>
    <w:multiLevelType w:val="hybridMultilevel"/>
    <w:tmpl w:val="EDE4CB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556AD4"/>
    <w:multiLevelType w:val="hybridMultilevel"/>
    <w:tmpl w:val="E6D2C752"/>
    <w:lvl w:ilvl="0" w:tplc="79B0B77E">
      <w:start w:val="10"/>
      <w:numFmt w:val="bullet"/>
      <w:lvlText w:val="-"/>
      <w:lvlJc w:val="left"/>
      <w:pPr>
        <w:ind w:left="1710" w:hanging="360"/>
      </w:pPr>
      <w:rPr>
        <w:rFonts w:ascii="Calibri" w:eastAsiaTheme="minorHAnsi" w:hAnsi="Calibri" w:cs="Calibri" w:hint="default"/>
      </w:rPr>
    </w:lvl>
    <w:lvl w:ilvl="1" w:tplc="041A0003" w:tentative="1">
      <w:start w:val="1"/>
      <w:numFmt w:val="bullet"/>
      <w:lvlText w:val="o"/>
      <w:lvlJc w:val="left"/>
      <w:pPr>
        <w:ind w:left="2430" w:hanging="360"/>
      </w:pPr>
      <w:rPr>
        <w:rFonts w:ascii="Courier New" w:hAnsi="Courier New" w:cs="Courier New" w:hint="default"/>
      </w:rPr>
    </w:lvl>
    <w:lvl w:ilvl="2" w:tplc="041A0005" w:tentative="1">
      <w:start w:val="1"/>
      <w:numFmt w:val="bullet"/>
      <w:lvlText w:val=""/>
      <w:lvlJc w:val="left"/>
      <w:pPr>
        <w:ind w:left="3150" w:hanging="360"/>
      </w:pPr>
      <w:rPr>
        <w:rFonts w:ascii="Wingdings" w:hAnsi="Wingdings" w:hint="default"/>
      </w:rPr>
    </w:lvl>
    <w:lvl w:ilvl="3" w:tplc="041A0001" w:tentative="1">
      <w:start w:val="1"/>
      <w:numFmt w:val="bullet"/>
      <w:lvlText w:val=""/>
      <w:lvlJc w:val="left"/>
      <w:pPr>
        <w:ind w:left="3870" w:hanging="360"/>
      </w:pPr>
      <w:rPr>
        <w:rFonts w:ascii="Symbol" w:hAnsi="Symbol" w:hint="default"/>
      </w:rPr>
    </w:lvl>
    <w:lvl w:ilvl="4" w:tplc="041A0003" w:tentative="1">
      <w:start w:val="1"/>
      <w:numFmt w:val="bullet"/>
      <w:lvlText w:val="o"/>
      <w:lvlJc w:val="left"/>
      <w:pPr>
        <w:ind w:left="4590" w:hanging="360"/>
      </w:pPr>
      <w:rPr>
        <w:rFonts w:ascii="Courier New" w:hAnsi="Courier New" w:cs="Courier New" w:hint="default"/>
      </w:rPr>
    </w:lvl>
    <w:lvl w:ilvl="5" w:tplc="041A0005" w:tentative="1">
      <w:start w:val="1"/>
      <w:numFmt w:val="bullet"/>
      <w:lvlText w:val=""/>
      <w:lvlJc w:val="left"/>
      <w:pPr>
        <w:ind w:left="5310" w:hanging="360"/>
      </w:pPr>
      <w:rPr>
        <w:rFonts w:ascii="Wingdings" w:hAnsi="Wingdings" w:hint="default"/>
      </w:rPr>
    </w:lvl>
    <w:lvl w:ilvl="6" w:tplc="041A0001" w:tentative="1">
      <w:start w:val="1"/>
      <w:numFmt w:val="bullet"/>
      <w:lvlText w:val=""/>
      <w:lvlJc w:val="left"/>
      <w:pPr>
        <w:ind w:left="6030" w:hanging="360"/>
      </w:pPr>
      <w:rPr>
        <w:rFonts w:ascii="Symbol" w:hAnsi="Symbol" w:hint="default"/>
      </w:rPr>
    </w:lvl>
    <w:lvl w:ilvl="7" w:tplc="041A0003" w:tentative="1">
      <w:start w:val="1"/>
      <w:numFmt w:val="bullet"/>
      <w:lvlText w:val="o"/>
      <w:lvlJc w:val="left"/>
      <w:pPr>
        <w:ind w:left="6750" w:hanging="360"/>
      </w:pPr>
      <w:rPr>
        <w:rFonts w:ascii="Courier New" w:hAnsi="Courier New" w:cs="Courier New" w:hint="default"/>
      </w:rPr>
    </w:lvl>
    <w:lvl w:ilvl="8" w:tplc="041A0005" w:tentative="1">
      <w:start w:val="1"/>
      <w:numFmt w:val="bullet"/>
      <w:lvlText w:val=""/>
      <w:lvlJc w:val="left"/>
      <w:pPr>
        <w:ind w:left="7470" w:hanging="360"/>
      </w:pPr>
      <w:rPr>
        <w:rFonts w:ascii="Wingdings" w:hAnsi="Wingdings" w:hint="default"/>
      </w:rPr>
    </w:lvl>
  </w:abstractNum>
  <w:abstractNum w:abstractNumId="7"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7DF038D"/>
    <w:multiLevelType w:val="hybridMultilevel"/>
    <w:tmpl w:val="EB8846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0D2B28"/>
    <w:multiLevelType w:val="hybridMultilevel"/>
    <w:tmpl w:val="8E6672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C1472F"/>
    <w:multiLevelType w:val="hybridMultilevel"/>
    <w:tmpl w:val="43DEFA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904E09"/>
    <w:multiLevelType w:val="hybridMultilevel"/>
    <w:tmpl w:val="833AB208"/>
    <w:lvl w:ilvl="0" w:tplc="E21A9902">
      <w:start w:val="1"/>
      <w:numFmt w:val="decimal"/>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1BCE5D75"/>
    <w:multiLevelType w:val="hybridMultilevel"/>
    <w:tmpl w:val="6714DA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3F662B"/>
    <w:multiLevelType w:val="hybridMultilevel"/>
    <w:tmpl w:val="D4520B32"/>
    <w:lvl w:ilvl="0" w:tplc="953A58CA">
      <w:start w:val="1"/>
      <w:numFmt w:val="decimal"/>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9346394"/>
    <w:multiLevelType w:val="hybridMultilevel"/>
    <w:tmpl w:val="8B5811AE"/>
    <w:lvl w:ilvl="0" w:tplc="60C24AC2">
      <w:start w:val="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5" w15:restartNumberingAfterBreak="0">
    <w:nsid w:val="2991477B"/>
    <w:multiLevelType w:val="hybridMultilevel"/>
    <w:tmpl w:val="0862D5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CF36D3"/>
    <w:multiLevelType w:val="hybridMultilevel"/>
    <w:tmpl w:val="D2E67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0F4AF4"/>
    <w:multiLevelType w:val="hybridMultilevel"/>
    <w:tmpl w:val="143235BE"/>
    <w:lvl w:ilvl="0" w:tplc="3368A3A8">
      <w:start w:val="3"/>
      <w:numFmt w:val="bullet"/>
      <w:lvlText w:val="-"/>
      <w:lvlJc w:val="left"/>
      <w:pPr>
        <w:ind w:left="720" w:hanging="360"/>
      </w:pPr>
      <w:rPr>
        <w:rFonts w:ascii="Arial" w:eastAsiaTheme="minorHAnsi" w:hAnsi="Aria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6C359E"/>
    <w:multiLevelType w:val="hybridMultilevel"/>
    <w:tmpl w:val="44EEE2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532294"/>
    <w:multiLevelType w:val="hybridMultilevel"/>
    <w:tmpl w:val="AD4E08A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185644"/>
    <w:multiLevelType w:val="hybridMultilevel"/>
    <w:tmpl w:val="5180F8D0"/>
    <w:lvl w:ilvl="0" w:tplc="8708AD48">
      <w:start w:val="1"/>
      <w:numFmt w:val="decimal"/>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21" w15:restartNumberingAfterBreak="0">
    <w:nsid w:val="3A146119"/>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8778A5"/>
    <w:multiLevelType w:val="hybridMultilevel"/>
    <w:tmpl w:val="EAD8EEFC"/>
    <w:lvl w:ilvl="0" w:tplc="2CAC24B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F14714"/>
    <w:multiLevelType w:val="hybridMultilevel"/>
    <w:tmpl w:val="FBFC8C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572E71"/>
    <w:multiLevelType w:val="hybridMultilevel"/>
    <w:tmpl w:val="FDAA2B52"/>
    <w:lvl w:ilvl="0" w:tplc="787A603A">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25" w15:restartNumberingAfterBreak="0">
    <w:nsid w:val="44DC7819"/>
    <w:multiLevelType w:val="hybridMultilevel"/>
    <w:tmpl w:val="E9D2BD44"/>
    <w:lvl w:ilvl="0" w:tplc="0DEA173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A94785"/>
    <w:multiLevelType w:val="hybridMultilevel"/>
    <w:tmpl w:val="D90679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564723"/>
    <w:multiLevelType w:val="hybridMultilevel"/>
    <w:tmpl w:val="AB964618"/>
    <w:lvl w:ilvl="0" w:tplc="9AB80604">
      <w:start w:val="1"/>
      <w:numFmt w:val="decimal"/>
      <w:lvlText w:val="%1."/>
      <w:lvlJc w:val="left"/>
      <w:pPr>
        <w:ind w:left="326"/>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94BEC6B8">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00386">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4C2108">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6F5FA">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3658D0">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5E020A">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2F74C">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D4500A">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4685AD7"/>
    <w:multiLevelType w:val="hybridMultilevel"/>
    <w:tmpl w:val="488C9D04"/>
    <w:lvl w:ilvl="0" w:tplc="8B281198">
      <w:start w:val="10"/>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0202BC"/>
    <w:multiLevelType w:val="hybridMultilevel"/>
    <w:tmpl w:val="DCE6085E"/>
    <w:lvl w:ilvl="0" w:tplc="C02283DA">
      <w:start w:val="10"/>
      <w:numFmt w:val="bullet"/>
      <w:lvlText w:val="-"/>
      <w:lvlJc w:val="left"/>
      <w:pPr>
        <w:ind w:left="1935" w:hanging="360"/>
      </w:pPr>
      <w:rPr>
        <w:rFonts w:ascii="Calibri" w:eastAsiaTheme="minorHAnsi" w:hAnsi="Calibri" w:cs="Calibri"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31"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A175075"/>
    <w:multiLevelType w:val="hybridMultilevel"/>
    <w:tmpl w:val="950800E6"/>
    <w:lvl w:ilvl="0" w:tplc="06C64F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2847C">
      <w:start w:val="2"/>
      <w:numFmt w:val="decimal"/>
      <w:lvlText w:val="%2."/>
      <w:lvlJc w:val="left"/>
      <w:pPr>
        <w:ind w:left="567"/>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B0E8C0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E162">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ACDA0">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E6DA6">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512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41404">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25E5E">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83218C"/>
    <w:multiLevelType w:val="hybridMultilevel"/>
    <w:tmpl w:val="F66056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7F1DC2"/>
    <w:multiLevelType w:val="hybridMultilevel"/>
    <w:tmpl w:val="43DEFA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05E0DE9"/>
    <w:multiLevelType w:val="hybridMultilevel"/>
    <w:tmpl w:val="25440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6514E6"/>
    <w:multiLevelType w:val="hybridMultilevel"/>
    <w:tmpl w:val="E4C26C7A"/>
    <w:lvl w:ilvl="0" w:tplc="041A000F">
      <w:start w:val="1"/>
      <w:numFmt w:val="decimal"/>
      <w:lvlText w:val="%1."/>
      <w:lvlJc w:val="left"/>
      <w:pPr>
        <w:ind w:left="927"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2F4BA3"/>
    <w:multiLevelType w:val="hybridMultilevel"/>
    <w:tmpl w:val="21DA261A"/>
    <w:lvl w:ilvl="0" w:tplc="871CBEB8">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8" w15:restartNumberingAfterBreak="0">
    <w:nsid w:val="738F006C"/>
    <w:multiLevelType w:val="hybridMultilevel"/>
    <w:tmpl w:val="FCE80E20"/>
    <w:lvl w:ilvl="0" w:tplc="3C5C217A">
      <w:start w:val="5"/>
      <w:numFmt w:val="decimal"/>
      <w:lvlText w:val="%1."/>
      <w:lvlJc w:val="left"/>
      <w:pPr>
        <w:ind w:left="0"/>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1" w:tplc="30B4DF60">
      <w:start w:val="1"/>
      <w:numFmt w:val="lowerLetter"/>
      <w:lvlText w:val="%2"/>
      <w:lvlJc w:val="left"/>
      <w:pPr>
        <w:ind w:left="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B0E1CC">
      <w:start w:val="1"/>
      <w:numFmt w:val="lowerRoman"/>
      <w:lvlText w:val="%3"/>
      <w:lvlJc w:val="left"/>
      <w:pPr>
        <w:ind w:left="1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06247E">
      <w:start w:val="1"/>
      <w:numFmt w:val="decimal"/>
      <w:lvlText w:val="%4"/>
      <w:lvlJc w:val="left"/>
      <w:pPr>
        <w:ind w:left="2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1C030E">
      <w:start w:val="1"/>
      <w:numFmt w:val="lowerLetter"/>
      <w:lvlText w:val="%5"/>
      <w:lvlJc w:val="left"/>
      <w:pPr>
        <w:ind w:left="2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00FDB8">
      <w:start w:val="1"/>
      <w:numFmt w:val="lowerRoman"/>
      <w:lvlText w:val="%6"/>
      <w:lvlJc w:val="left"/>
      <w:pPr>
        <w:ind w:left="3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84B38A">
      <w:start w:val="1"/>
      <w:numFmt w:val="decimal"/>
      <w:lvlText w:val="%7"/>
      <w:lvlJc w:val="left"/>
      <w:pPr>
        <w:ind w:left="4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5AD100">
      <w:start w:val="1"/>
      <w:numFmt w:val="lowerLetter"/>
      <w:lvlText w:val="%8"/>
      <w:lvlJc w:val="left"/>
      <w:pPr>
        <w:ind w:left="5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E5066">
      <w:start w:val="1"/>
      <w:numFmt w:val="lowerRoman"/>
      <w:lvlText w:val="%9"/>
      <w:lvlJc w:val="left"/>
      <w:pPr>
        <w:ind w:left="5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41C389B"/>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821811"/>
    <w:multiLevelType w:val="hybridMultilevel"/>
    <w:tmpl w:val="23503522"/>
    <w:lvl w:ilvl="0" w:tplc="385222D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7CB57F72"/>
    <w:multiLevelType w:val="hybridMultilevel"/>
    <w:tmpl w:val="B2363A6A"/>
    <w:lvl w:ilvl="0" w:tplc="83502E82">
      <w:start w:val="2"/>
      <w:numFmt w:val="bullet"/>
      <w:lvlText w:val="-"/>
      <w:lvlJc w:val="left"/>
      <w:pPr>
        <w:ind w:left="218" w:hanging="360"/>
      </w:pPr>
      <w:rPr>
        <w:rFonts w:ascii="Arial" w:eastAsiaTheme="minorHAnsi" w:hAnsi="Arial" w:cs="Arial" w:hint="default"/>
        <w:i/>
        <w:w w:val="105"/>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num w:numId="1">
    <w:abstractNumId w:val="41"/>
  </w:num>
  <w:num w:numId="2">
    <w:abstractNumId w:val="23"/>
  </w:num>
  <w:num w:numId="3">
    <w:abstractNumId w:val="29"/>
  </w:num>
  <w:num w:numId="4">
    <w:abstractNumId w:val="15"/>
  </w:num>
  <w:num w:numId="5">
    <w:abstractNumId w:val="17"/>
  </w:num>
  <w:num w:numId="6">
    <w:abstractNumId w:val="6"/>
  </w:num>
  <w:num w:numId="7">
    <w:abstractNumId w:val="30"/>
  </w:num>
  <w:num w:numId="8">
    <w:abstractNumId w:val="2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8"/>
  </w:num>
  <w:num w:numId="13">
    <w:abstractNumId w:val="0"/>
  </w:num>
  <w:num w:numId="14">
    <w:abstractNumId w:val="26"/>
  </w:num>
  <w:num w:numId="15">
    <w:abstractNumId w:val="19"/>
  </w:num>
  <w:num w:numId="16">
    <w:abstractNumId w:val="14"/>
  </w:num>
  <w:num w:numId="17">
    <w:abstractNumId w:val="25"/>
  </w:num>
  <w:num w:numId="18">
    <w:abstractNumId w:val="22"/>
  </w:num>
  <w:num w:numId="19">
    <w:abstractNumId w:val="38"/>
  </w:num>
  <w:num w:numId="20">
    <w:abstractNumId w:val="32"/>
  </w:num>
  <w:num w:numId="21">
    <w:abstractNumId w:val="27"/>
  </w:num>
  <w:num w:numId="22">
    <w:abstractNumId w:val="36"/>
  </w:num>
  <w:num w:numId="23">
    <w:abstractNumId w:val="12"/>
  </w:num>
  <w:num w:numId="24">
    <w:abstractNumId w:val="31"/>
  </w:num>
  <w:num w:numId="25">
    <w:abstractNumId w:val="4"/>
  </w:num>
  <w:num w:numId="26">
    <w:abstractNumId w:val="8"/>
  </w:num>
  <w:num w:numId="27">
    <w:abstractNumId w:val="10"/>
  </w:num>
  <w:num w:numId="28">
    <w:abstractNumId w:val="34"/>
  </w:num>
  <w:num w:numId="29">
    <w:abstractNumId w:val="39"/>
  </w:num>
  <w:num w:numId="30">
    <w:abstractNumId w:val="18"/>
  </w:num>
  <w:num w:numId="31">
    <w:abstractNumId w:val="21"/>
  </w:num>
  <w:num w:numId="32">
    <w:abstractNumId w:val="35"/>
  </w:num>
  <w:num w:numId="33">
    <w:abstractNumId w:val="9"/>
  </w:num>
  <w:num w:numId="34">
    <w:abstractNumId w:val="2"/>
  </w:num>
  <w:num w:numId="35">
    <w:abstractNumId w:val="33"/>
  </w:num>
  <w:num w:numId="36">
    <w:abstractNumId w:val="5"/>
  </w:num>
  <w:num w:numId="37">
    <w:abstractNumId w:val="13"/>
  </w:num>
  <w:num w:numId="38">
    <w:abstractNumId w:val="40"/>
  </w:num>
  <w:num w:numId="39">
    <w:abstractNumId w:val="37"/>
  </w:num>
  <w:num w:numId="40">
    <w:abstractNumId w:val="11"/>
  </w:num>
  <w:num w:numId="41">
    <w:abstractNumId w:val="2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96"/>
    <w:rsid w:val="0000691E"/>
    <w:rsid w:val="00010698"/>
    <w:rsid w:val="0001531D"/>
    <w:rsid w:val="000201E3"/>
    <w:rsid w:val="00035B34"/>
    <w:rsid w:val="00036082"/>
    <w:rsid w:val="00055237"/>
    <w:rsid w:val="00056968"/>
    <w:rsid w:val="00060F99"/>
    <w:rsid w:val="0006129B"/>
    <w:rsid w:val="0006556A"/>
    <w:rsid w:val="000749C9"/>
    <w:rsid w:val="00080295"/>
    <w:rsid w:val="00085323"/>
    <w:rsid w:val="000906F7"/>
    <w:rsid w:val="00097C82"/>
    <w:rsid w:val="000A0E1A"/>
    <w:rsid w:val="000A2065"/>
    <w:rsid w:val="000A4BFE"/>
    <w:rsid w:val="000B13A3"/>
    <w:rsid w:val="000B4E34"/>
    <w:rsid w:val="000C254D"/>
    <w:rsid w:val="000C3B5A"/>
    <w:rsid w:val="000E3EA6"/>
    <w:rsid w:val="000E643B"/>
    <w:rsid w:val="000F23F0"/>
    <w:rsid w:val="000F6E3D"/>
    <w:rsid w:val="00112456"/>
    <w:rsid w:val="00112506"/>
    <w:rsid w:val="00117979"/>
    <w:rsid w:val="00122CAE"/>
    <w:rsid w:val="00137577"/>
    <w:rsid w:val="00141D6C"/>
    <w:rsid w:val="00143596"/>
    <w:rsid w:val="00147582"/>
    <w:rsid w:val="00151516"/>
    <w:rsid w:val="00166679"/>
    <w:rsid w:val="0018087A"/>
    <w:rsid w:val="00187D08"/>
    <w:rsid w:val="001935E3"/>
    <w:rsid w:val="001952FE"/>
    <w:rsid w:val="00197C2D"/>
    <w:rsid w:val="001A2250"/>
    <w:rsid w:val="001A52E1"/>
    <w:rsid w:val="001A7E98"/>
    <w:rsid w:val="001B3BBB"/>
    <w:rsid w:val="001C0B4B"/>
    <w:rsid w:val="001C3EA5"/>
    <w:rsid w:val="001C4ABB"/>
    <w:rsid w:val="001C79EA"/>
    <w:rsid w:val="001E583A"/>
    <w:rsid w:val="00200D55"/>
    <w:rsid w:val="00210836"/>
    <w:rsid w:val="00216BBE"/>
    <w:rsid w:val="00220EB4"/>
    <w:rsid w:val="00227324"/>
    <w:rsid w:val="0023252E"/>
    <w:rsid w:val="002359D5"/>
    <w:rsid w:val="002508DA"/>
    <w:rsid w:val="0025658D"/>
    <w:rsid w:val="00256F52"/>
    <w:rsid w:val="00260A87"/>
    <w:rsid w:val="0026671C"/>
    <w:rsid w:val="002804BF"/>
    <w:rsid w:val="00291D5C"/>
    <w:rsid w:val="00292891"/>
    <w:rsid w:val="002A0B90"/>
    <w:rsid w:val="002A0FB9"/>
    <w:rsid w:val="002A2CA6"/>
    <w:rsid w:val="002B12C6"/>
    <w:rsid w:val="002B38EB"/>
    <w:rsid w:val="002C2617"/>
    <w:rsid w:val="002C2DED"/>
    <w:rsid w:val="002C4994"/>
    <w:rsid w:val="002D4C35"/>
    <w:rsid w:val="002D537D"/>
    <w:rsid w:val="002E0413"/>
    <w:rsid w:val="002E6272"/>
    <w:rsid w:val="002F1C3E"/>
    <w:rsid w:val="002F429B"/>
    <w:rsid w:val="0031194D"/>
    <w:rsid w:val="00312F2C"/>
    <w:rsid w:val="00315CC0"/>
    <w:rsid w:val="00323DB6"/>
    <w:rsid w:val="00334975"/>
    <w:rsid w:val="0033514C"/>
    <w:rsid w:val="0033641B"/>
    <w:rsid w:val="00342234"/>
    <w:rsid w:val="003440B1"/>
    <w:rsid w:val="003600BE"/>
    <w:rsid w:val="00364B13"/>
    <w:rsid w:val="003658F7"/>
    <w:rsid w:val="003706E0"/>
    <w:rsid w:val="00370CEB"/>
    <w:rsid w:val="003733ED"/>
    <w:rsid w:val="003762D6"/>
    <w:rsid w:val="00377DD5"/>
    <w:rsid w:val="00381945"/>
    <w:rsid w:val="00381C96"/>
    <w:rsid w:val="00381F27"/>
    <w:rsid w:val="00384CDF"/>
    <w:rsid w:val="00390A6B"/>
    <w:rsid w:val="00390B29"/>
    <w:rsid w:val="00393509"/>
    <w:rsid w:val="0039419A"/>
    <w:rsid w:val="0039626F"/>
    <w:rsid w:val="003A0BB0"/>
    <w:rsid w:val="003A0C11"/>
    <w:rsid w:val="003A723D"/>
    <w:rsid w:val="003B0B82"/>
    <w:rsid w:val="003B4FC6"/>
    <w:rsid w:val="003C477C"/>
    <w:rsid w:val="003D041D"/>
    <w:rsid w:val="003D5D73"/>
    <w:rsid w:val="003D761C"/>
    <w:rsid w:val="003E77B1"/>
    <w:rsid w:val="003F5165"/>
    <w:rsid w:val="00416527"/>
    <w:rsid w:val="00423FF4"/>
    <w:rsid w:val="004312CB"/>
    <w:rsid w:val="00434FD8"/>
    <w:rsid w:val="00436F4E"/>
    <w:rsid w:val="00445F09"/>
    <w:rsid w:val="00450764"/>
    <w:rsid w:val="00451D73"/>
    <w:rsid w:val="00463476"/>
    <w:rsid w:val="0046626C"/>
    <w:rsid w:val="0046772B"/>
    <w:rsid w:val="00471FD6"/>
    <w:rsid w:val="004721C3"/>
    <w:rsid w:val="00472B02"/>
    <w:rsid w:val="004770AC"/>
    <w:rsid w:val="004856C8"/>
    <w:rsid w:val="00485889"/>
    <w:rsid w:val="004928A4"/>
    <w:rsid w:val="004B6526"/>
    <w:rsid w:val="004D168A"/>
    <w:rsid w:val="004D35E2"/>
    <w:rsid w:val="004D6DBB"/>
    <w:rsid w:val="004F2E80"/>
    <w:rsid w:val="004F672F"/>
    <w:rsid w:val="00504B15"/>
    <w:rsid w:val="00515F93"/>
    <w:rsid w:val="00531400"/>
    <w:rsid w:val="005417BE"/>
    <w:rsid w:val="0054493D"/>
    <w:rsid w:val="0055619A"/>
    <w:rsid w:val="00563497"/>
    <w:rsid w:val="005675DA"/>
    <w:rsid w:val="00572EC1"/>
    <w:rsid w:val="0057331A"/>
    <w:rsid w:val="0057576B"/>
    <w:rsid w:val="00581AF1"/>
    <w:rsid w:val="0058574B"/>
    <w:rsid w:val="00587C93"/>
    <w:rsid w:val="0059024D"/>
    <w:rsid w:val="005902A8"/>
    <w:rsid w:val="0059277A"/>
    <w:rsid w:val="00597EE0"/>
    <w:rsid w:val="005A0C5B"/>
    <w:rsid w:val="005A2E9C"/>
    <w:rsid w:val="005A6775"/>
    <w:rsid w:val="005A7258"/>
    <w:rsid w:val="005A76B0"/>
    <w:rsid w:val="005A7FEA"/>
    <w:rsid w:val="005C6E65"/>
    <w:rsid w:val="005D3A4D"/>
    <w:rsid w:val="005D545C"/>
    <w:rsid w:val="005E1858"/>
    <w:rsid w:val="005F2A49"/>
    <w:rsid w:val="005F5708"/>
    <w:rsid w:val="00602B5A"/>
    <w:rsid w:val="00614B99"/>
    <w:rsid w:val="006367FC"/>
    <w:rsid w:val="00645946"/>
    <w:rsid w:val="00652DE6"/>
    <w:rsid w:val="00656FA1"/>
    <w:rsid w:val="00670666"/>
    <w:rsid w:val="00673C7F"/>
    <w:rsid w:val="006819BE"/>
    <w:rsid w:val="00683D72"/>
    <w:rsid w:val="006972C4"/>
    <w:rsid w:val="006A529E"/>
    <w:rsid w:val="006B4F24"/>
    <w:rsid w:val="006B5BC3"/>
    <w:rsid w:val="006C08A1"/>
    <w:rsid w:val="006C379C"/>
    <w:rsid w:val="006C6129"/>
    <w:rsid w:val="006D5CF2"/>
    <w:rsid w:val="006D6B66"/>
    <w:rsid w:val="006D75E0"/>
    <w:rsid w:val="006E0B16"/>
    <w:rsid w:val="006E29FA"/>
    <w:rsid w:val="006E6F68"/>
    <w:rsid w:val="006F33C4"/>
    <w:rsid w:val="006F5A1C"/>
    <w:rsid w:val="0070004A"/>
    <w:rsid w:val="00700927"/>
    <w:rsid w:val="0071047E"/>
    <w:rsid w:val="007202ED"/>
    <w:rsid w:val="00722795"/>
    <w:rsid w:val="00726385"/>
    <w:rsid w:val="00732F86"/>
    <w:rsid w:val="00736F7D"/>
    <w:rsid w:val="007376A7"/>
    <w:rsid w:val="00752D97"/>
    <w:rsid w:val="007562C0"/>
    <w:rsid w:val="007649B1"/>
    <w:rsid w:val="00797C5E"/>
    <w:rsid w:val="007A3E2C"/>
    <w:rsid w:val="007D24B7"/>
    <w:rsid w:val="007D4B28"/>
    <w:rsid w:val="007F416C"/>
    <w:rsid w:val="00812408"/>
    <w:rsid w:val="00814D33"/>
    <w:rsid w:val="00820861"/>
    <w:rsid w:val="0082617D"/>
    <w:rsid w:val="00830002"/>
    <w:rsid w:val="00832894"/>
    <w:rsid w:val="00836851"/>
    <w:rsid w:val="00846B07"/>
    <w:rsid w:val="00856617"/>
    <w:rsid w:val="0086275D"/>
    <w:rsid w:val="0087317C"/>
    <w:rsid w:val="00880AB5"/>
    <w:rsid w:val="00881DF7"/>
    <w:rsid w:val="008825F8"/>
    <w:rsid w:val="00890117"/>
    <w:rsid w:val="008B372C"/>
    <w:rsid w:val="008B783B"/>
    <w:rsid w:val="008C01E0"/>
    <w:rsid w:val="008D418B"/>
    <w:rsid w:val="008D73DE"/>
    <w:rsid w:val="008E01AE"/>
    <w:rsid w:val="008E03ED"/>
    <w:rsid w:val="008E278F"/>
    <w:rsid w:val="008F0DEE"/>
    <w:rsid w:val="009171E0"/>
    <w:rsid w:val="00917C43"/>
    <w:rsid w:val="00921DE9"/>
    <w:rsid w:val="00930023"/>
    <w:rsid w:val="009348F8"/>
    <w:rsid w:val="0094040E"/>
    <w:rsid w:val="00946978"/>
    <w:rsid w:val="00950B91"/>
    <w:rsid w:val="009675D3"/>
    <w:rsid w:val="009769F2"/>
    <w:rsid w:val="0098320B"/>
    <w:rsid w:val="00991824"/>
    <w:rsid w:val="0099245A"/>
    <w:rsid w:val="00992DB9"/>
    <w:rsid w:val="00993A5B"/>
    <w:rsid w:val="00994636"/>
    <w:rsid w:val="00995B12"/>
    <w:rsid w:val="009A066B"/>
    <w:rsid w:val="009A06FB"/>
    <w:rsid w:val="009A285B"/>
    <w:rsid w:val="009B5369"/>
    <w:rsid w:val="009D5BEC"/>
    <w:rsid w:val="009D691F"/>
    <w:rsid w:val="009E6A97"/>
    <w:rsid w:val="009F3977"/>
    <w:rsid w:val="009F45B6"/>
    <w:rsid w:val="009F5803"/>
    <w:rsid w:val="00A04553"/>
    <w:rsid w:val="00A20561"/>
    <w:rsid w:val="00A2500A"/>
    <w:rsid w:val="00A32E6F"/>
    <w:rsid w:val="00A361EC"/>
    <w:rsid w:val="00A370F9"/>
    <w:rsid w:val="00A42FE5"/>
    <w:rsid w:val="00A51846"/>
    <w:rsid w:val="00A6489C"/>
    <w:rsid w:val="00A66099"/>
    <w:rsid w:val="00A76811"/>
    <w:rsid w:val="00A81886"/>
    <w:rsid w:val="00A83352"/>
    <w:rsid w:val="00A84F59"/>
    <w:rsid w:val="00A93673"/>
    <w:rsid w:val="00AB498E"/>
    <w:rsid w:val="00AC0945"/>
    <w:rsid w:val="00AC59DB"/>
    <w:rsid w:val="00AE2293"/>
    <w:rsid w:val="00AE74E6"/>
    <w:rsid w:val="00AF2849"/>
    <w:rsid w:val="00AF5814"/>
    <w:rsid w:val="00AF5FCF"/>
    <w:rsid w:val="00B00141"/>
    <w:rsid w:val="00B032B0"/>
    <w:rsid w:val="00B049CE"/>
    <w:rsid w:val="00B150E7"/>
    <w:rsid w:val="00B20118"/>
    <w:rsid w:val="00B44673"/>
    <w:rsid w:val="00B45553"/>
    <w:rsid w:val="00B5530C"/>
    <w:rsid w:val="00B55908"/>
    <w:rsid w:val="00B613E8"/>
    <w:rsid w:val="00B62396"/>
    <w:rsid w:val="00B711A1"/>
    <w:rsid w:val="00B71527"/>
    <w:rsid w:val="00B7207B"/>
    <w:rsid w:val="00B72E81"/>
    <w:rsid w:val="00BA7264"/>
    <w:rsid w:val="00BA7288"/>
    <w:rsid w:val="00BB0507"/>
    <w:rsid w:val="00BC2A27"/>
    <w:rsid w:val="00BC7977"/>
    <w:rsid w:val="00C02288"/>
    <w:rsid w:val="00C04B3C"/>
    <w:rsid w:val="00C12648"/>
    <w:rsid w:val="00C13E8A"/>
    <w:rsid w:val="00C15D7B"/>
    <w:rsid w:val="00C25B45"/>
    <w:rsid w:val="00C32BB5"/>
    <w:rsid w:val="00C4049F"/>
    <w:rsid w:val="00C43128"/>
    <w:rsid w:val="00C44C2F"/>
    <w:rsid w:val="00C52B34"/>
    <w:rsid w:val="00C629B1"/>
    <w:rsid w:val="00C636AE"/>
    <w:rsid w:val="00C67DD5"/>
    <w:rsid w:val="00C777DD"/>
    <w:rsid w:val="00C8071D"/>
    <w:rsid w:val="00C841B0"/>
    <w:rsid w:val="00C9226F"/>
    <w:rsid w:val="00C92491"/>
    <w:rsid w:val="00C92BE3"/>
    <w:rsid w:val="00C95AE4"/>
    <w:rsid w:val="00CA176C"/>
    <w:rsid w:val="00CA351A"/>
    <w:rsid w:val="00CB057D"/>
    <w:rsid w:val="00CB11B2"/>
    <w:rsid w:val="00CB66CC"/>
    <w:rsid w:val="00CD268B"/>
    <w:rsid w:val="00CD37C2"/>
    <w:rsid w:val="00CD59AC"/>
    <w:rsid w:val="00CD5BB3"/>
    <w:rsid w:val="00D05E12"/>
    <w:rsid w:val="00D11F3F"/>
    <w:rsid w:val="00D20EAD"/>
    <w:rsid w:val="00D33D24"/>
    <w:rsid w:val="00D357FB"/>
    <w:rsid w:val="00D406C2"/>
    <w:rsid w:val="00D559EE"/>
    <w:rsid w:val="00D5622C"/>
    <w:rsid w:val="00D6473E"/>
    <w:rsid w:val="00D64BAD"/>
    <w:rsid w:val="00D6503E"/>
    <w:rsid w:val="00D66DB4"/>
    <w:rsid w:val="00D718EC"/>
    <w:rsid w:val="00D72295"/>
    <w:rsid w:val="00D72A19"/>
    <w:rsid w:val="00D7632E"/>
    <w:rsid w:val="00D838E1"/>
    <w:rsid w:val="00D84A60"/>
    <w:rsid w:val="00D90C84"/>
    <w:rsid w:val="00D91073"/>
    <w:rsid w:val="00D91B8B"/>
    <w:rsid w:val="00D921C8"/>
    <w:rsid w:val="00DA46B0"/>
    <w:rsid w:val="00DA6E46"/>
    <w:rsid w:val="00DB3782"/>
    <w:rsid w:val="00DB3AC0"/>
    <w:rsid w:val="00DC71D7"/>
    <w:rsid w:val="00DE4482"/>
    <w:rsid w:val="00DE7D16"/>
    <w:rsid w:val="00DF5093"/>
    <w:rsid w:val="00E010D8"/>
    <w:rsid w:val="00E103E0"/>
    <w:rsid w:val="00E12D40"/>
    <w:rsid w:val="00E205B1"/>
    <w:rsid w:val="00E2313A"/>
    <w:rsid w:val="00E31ADD"/>
    <w:rsid w:val="00E45060"/>
    <w:rsid w:val="00E50C5D"/>
    <w:rsid w:val="00E519D7"/>
    <w:rsid w:val="00E63F62"/>
    <w:rsid w:val="00E654EC"/>
    <w:rsid w:val="00E66881"/>
    <w:rsid w:val="00E73D64"/>
    <w:rsid w:val="00E827F9"/>
    <w:rsid w:val="00E851E8"/>
    <w:rsid w:val="00E866D4"/>
    <w:rsid w:val="00E91ADB"/>
    <w:rsid w:val="00EA0EA2"/>
    <w:rsid w:val="00EA7362"/>
    <w:rsid w:val="00EC57F8"/>
    <w:rsid w:val="00ED089F"/>
    <w:rsid w:val="00ED18F2"/>
    <w:rsid w:val="00ED32E7"/>
    <w:rsid w:val="00EE04B5"/>
    <w:rsid w:val="00EE47F1"/>
    <w:rsid w:val="00EE694F"/>
    <w:rsid w:val="00EE7471"/>
    <w:rsid w:val="00EF4BE3"/>
    <w:rsid w:val="00F010AA"/>
    <w:rsid w:val="00F06F52"/>
    <w:rsid w:val="00F11E6D"/>
    <w:rsid w:val="00F15271"/>
    <w:rsid w:val="00F234C1"/>
    <w:rsid w:val="00F3238B"/>
    <w:rsid w:val="00F3320C"/>
    <w:rsid w:val="00F33D1A"/>
    <w:rsid w:val="00F369F9"/>
    <w:rsid w:val="00F37AF1"/>
    <w:rsid w:val="00F41FFD"/>
    <w:rsid w:val="00F42057"/>
    <w:rsid w:val="00F42197"/>
    <w:rsid w:val="00F45187"/>
    <w:rsid w:val="00F522C1"/>
    <w:rsid w:val="00F54125"/>
    <w:rsid w:val="00F563C5"/>
    <w:rsid w:val="00F62631"/>
    <w:rsid w:val="00F678A4"/>
    <w:rsid w:val="00F72A3D"/>
    <w:rsid w:val="00F771A2"/>
    <w:rsid w:val="00F80F6F"/>
    <w:rsid w:val="00F8191F"/>
    <w:rsid w:val="00F96FD4"/>
    <w:rsid w:val="00F977CF"/>
    <w:rsid w:val="00FA4C44"/>
    <w:rsid w:val="00FA6491"/>
    <w:rsid w:val="00FB03B3"/>
    <w:rsid w:val="00FB481A"/>
    <w:rsid w:val="00FC538A"/>
    <w:rsid w:val="00FD43DD"/>
    <w:rsid w:val="00FD558E"/>
    <w:rsid w:val="00FD6C8E"/>
    <w:rsid w:val="00FD720F"/>
    <w:rsid w:val="00FE4238"/>
    <w:rsid w:val="00FF46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83355"/>
  <w15:docId w15:val="{2A841EE4-0B96-4C03-9764-145D45F2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rtificate"/>
    <w:qFormat/>
    <w:rsid w:val="00C32BB5"/>
    <w:rPr>
      <w:rFonts w:ascii="Calibri" w:eastAsiaTheme="minorHAnsi" w:hAnsi="Calibri"/>
      <w:sz w:val="22"/>
      <w:szCs w:val="22"/>
      <w:lang w:val="hr-HR"/>
    </w:rPr>
  </w:style>
  <w:style w:type="paragraph" w:styleId="Heading1">
    <w:name w:val="heading 1"/>
    <w:basedOn w:val="Normal"/>
    <w:link w:val="Heading1Char"/>
    <w:uiPriority w:val="1"/>
    <w:qFormat/>
    <w:rsid w:val="00645946"/>
    <w:pPr>
      <w:widowControl w:val="0"/>
      <w:ind w:left="1149"/>
      <w:outlineLvl w:val="0"/>
    </w:pPr>
    <w:rPr>
      <w:rFonts w:ascii="Times New Roman" w:eastAsia="Times New Roman" w:hAnsi="Times New Roman" w:cstheme="minorBidi"/>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eTitle">
    <w:name w:val="Certificate Title"/>
    <w:basedOn w:val="Normal"/>
    <w:autoRedefine/>
    <w:qFormat/>
    <w:rsid w:val="009A066B"/>
    <w:rPr>
      <w:rFonts w:ascii="Open Sans Light Italic" w:eastAsia="MS Mincho" w:hAnsi="Open Sans Light Italic"/>
      <w:color w:val="1F497D"/>
      <w:spacing w:val="20"/>
      <w:sz w:val="116"/>
      <w:szCs w:val="116"/>
      <w:lang w:val="en-US"/>
    </w:rPr>
  </w:style>
  <w:style w:type="paragraph" w:customStyle="1" w:styleId="Body">
    <w:name w:val="Body"/>
    <w:autoRedefine/>
    <w:qFormat/>
    <w:rsid w:val="006D6B66"/>
    <w:pPr>
      <w:spacing w:line="276" w:lineRule="auto"/>
      <w:ind w:hanging="426"/>
      <w:contextualSpacing/>
      <w:jc w:val="both"/>
    </w:pPr>
    <w:rPr>
      <w:rFonts w:ascii="Arial" w:hAnsi="Arial"/>
      <w:lang w:val="hr-HR"/>
    </w:rPr>
  </w:style>
  <w:style w:type="paragraph" w:customStyle="1" w:styleId="SignatureLine">
    <w:name w:val="Signature Line"/>
    <w:basedOn w:val="Body"/>
    <w:autoRedefine/>
    <w:qFormat/>
    <w:rsid w:val="00141D6C"/>
    <w:rPr>
      <w:color w:val="1F497D"/>
    </w:rPr>
  </w:style>
  <w:style w:type="paragraph" w:styleId="Header">
    <w:name w:val="header"/>
    <w:basedOn w:val="Normal"/>
    <w:link w:val="HeaderChar"/>
    <w:uiPriority w:val="99"/>
    <w:unhideWhenUsed/>
    <w:rsid w:val="00200D55"/>
    <w:pPr>
      <w:tabs>
        <w:tab w:val="center" w:pos="4320"/>
        <w:tab w:val="right" w:pos="8640"/>
      </w:tabs>
    </w:pPr>
    <w:rPr>
      <w:rFonts w:ascii="Open Sans Bold" w:eastAsia="MS Mincho" w:hAnsi="Open Sans Bold"/>
      <w:color w:val="139CEA"/>
      <w:spacing w:val="70"/>
      <w:sz w:val="48"/>
      <w:szCs w:val="48"/>
      <w:lang w:val="en-US"/>
    </w:rPr>
  </w:style>
  <w:style w:type="character" w:customStyle="1" w:styleId="HeaderChar">
    <w:name w:val="Header Char"/>
    <w:link w:val="Header"/>
    <w:uiPriority w:val="99"/>
    <w:rsid w:val="00200D55"/>
    <w:rPr>
      <w:rFonts w:ascii="Open Sans Bold" w:hAnsi="Open Sans Bold"/>
      <w:color w:val="139CEA"/>
      <w:spacing w:val="70"/>
      <w:sz w:val="48"/>
      <w:szCs w:val="48"/>
    </w:rPr>
  </w:style>
  <w:style w:type="paragraph" w:styleId="Footer">
    <w:name w:val="footer"/>
    <w:basedOn w:val="Normal"/>
    <w:link w:val="FooterChar"/>
    <w:uiPriority w:val="99"/>
    <w:unhideWhenUsed/>
    <w:rsid w:val="00200D55"/>
    <w:pPr>
      <w:tabs>
        <w:tab w:val="center" w:pos="4320"/>
        <w:tab w:val="right" w:pos="8640"/>
      </w:tabs>
    </w:pPr>
    <w:rPr>
      <w:rFonts w:ascii="Open Sans Bold" w:eastAsia="MS Mincho" w:hAnsi="Open Sans Bold"/>
      <w:color w:val="139CEA"/>
      <w:spacing w:val="70"/>
      <w:sz w:val="48"/>
      <w:szCs w:val="48"/>
      <w:lang w:val="en-US"/>
    </w:rPr>
  </w:style>
  <w:style w:type="character" w:customStyle="1" w:styleId="FooterChar">
    <w:name w:val="Footer Char"/>
    <w:link w:val="Footer"/>
    <w:uiPriority w:val="99"/>
    <w:rsid w:val="00200D55"/>
    <w:rPr>
      <w:rFonts w:ascii="Open Sans Bold" w:hAnsi="Open Sans Bold"/>
      <w:color w:val="139CEA"/>
      <w:spacing w:val="70"/>
      <w:sz w:val="48"/>
      <w:szCs w:val="48"/>
    </w:rPr>
  </w:style>
  <w:style w:type="paragraph" w:styleId="BalloonText">
    <w:name w:val="Balloon Text"/>
    <w:basedOn w:val="Normal"/>
    <w:link w:val="BalloonTextChar"/>
    <w:uiPriority w:val="99"/>
    <w:semiHidden/>
    <w:unhideWhenUsed/>
    <w:rsid w:val="00200D55"/>
    <w:rPr>
      <w:rFonts w:ascii="Lucida Grande" w:eastAsia="MS Mincho" w:hAnsi="Lucida Grande" w:cs="Lucida Grande"/>
      <w:color w:val="139CEA"/>
      <w:spacing w:val="70"/>
      <w:sz w:val="18"/>
      <w:szCs w:val="18"/>
      <w:lang w:val="en-US"/>
    </w:rPr>
  </w:style>
  <w:style w:type="character" w:customStyle="1" w:styleId="BalloonTextChar">
    <w:name w:val="Balloon Text Char"/>
    <w:link w:val="BalloonText"/>
    <w:uiPriority w:val="99"/>
    <w:semiHidden/>
    <w:rsid w:val="00200D55"/>
    <w:rPr>
      <w:rFonts w:ascii="Lucida Grande" w:hAnsi="Lucida Grande" w:cs="Lucida Grande"/>
      <w:color w:val="139CEA"/>
      <w:spacing w:val="70"/>
      <w:sz w:val="18"/>
      <w:szCs w:val="18"/>
    </w:rPr>
  </w:style>
  <w:style w:type="character" w:customStyle="1" w:styleId="Heading1Char">
    <w:name w:val="Heading 1 Char"/>
    <w:basedOn w:val="DefaultParagraphFont"/>
    <w:link w:val="Heading1"/>
    <w:uiPriority w:val="1"/>
    <w:rsid w:val="00645946"/>
    <w:rPr>
      <w:rFonts w:ascii="Times New Roman" w:eastAsia="Times New Roman" w:hAnsi="Times New Roman" w:cstheme="minorBidi"/>
      <w:sz w:val="23"/>
      <w:szCs w:val="23"/>
    </w:rPr>
  </w:style>
  <w:style w:type="paragraph" w:styleId="BodyText">
    <w:name w:val="Body Text"/>
    <w:basedOn w:val="Normal"/>
    <w:link w:val="BodyTextChar"/>
    <w:uiPriority w:val="1"/>
    <w:qFormat/>
    <w:rsid w:val="00645946"/>
    <w:pPr>
      <w:widowControl w:val="0"/>
      <w:spacing w:before="1"/>
      <w:ind w:left="119"/>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645946"/>
    <w:rPr>
      <w:rFonts w:ascii="Times New Roman" w:eastAsia="Times New Roman" w:hAnsi="Times New Roman" w:cstheme="minorBidi"/>
      <w:sz w:val="22"/>
      <w:szCs w:val="22"/>
    </w:rPr>
  </w:style>
  <w:style w:type="paragraph" w:styleId="ListParagraph">
    <w:name w:val="List Paragraph"/>
    <w:basedOn w:val="Normal"/>
    <w:uiPriority w:val="34"/>
    <w:qFormat/>
    <w:rsid w:val="00645946"/>
    <w:pPr>
      <w:ind w:left="720"/>
      <w:contextualSpacing/>
    </w:pPr>
  </w:style>
  <w:style w:type="character" w:styleId="Hyperlink">
    <w:name w:val="Hyperlink"/>
    <w:basedOn w:val="DefaultParagraphFont"/>
    <w:uiPriority w:val="99"/>
    <w:unhideWhenUsed/>
    <w:rsid w:val="00F369F9"/>
    <w:rPr>
      <w:color w:val="FFFFFF" w:themeColor="hyperlink"/>
      <w:u w:val="single"/>
    </w:rPr>
  </w:style>
  <w:style w:type="paragraph" w:styleId="NormalWeb">
    <w:name w:val="Normal (Web)"/>
    <w:basedOn w:val="Normal"/>
    <w:uiPriority w:val="99"/>
    <w:unhideWhenUsed/>
    <w:rsid w:val="006367FC"/>
    <w:pPr>
      <w:spacing w:before="100" w:beforeAutospacing="1" w:after="100" w:afterAutospacing="1"/>
    </w:pPr>
    <w:rPr>
      <w:rFonts w:ascii="Times New Roman" w:eastAsia="Times New Roman" w:hAnsi="Times New Roman"/>
      <w:sz w:val="24"/>
      <w:szCs w:val="24"/>
      <w:lang w:eastAsia="hr-HR"/>
    </w:rPr>
  </w:style>
  <w:style w:type="table" w:styleId="TableGrid">
    <w:name w:val="Table Grid"/>
    <w:basedOn w:val="TableNormal"/>
    <w:uiPriority w:val="39"/>
    <w:rsid w:val="00D9107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2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544">
      <w:bodyDiv w:val="1"/>
      <w:marLeft w:val="0"/>
      <w:marRight w:val="0"/>
      <w:marTop w:val="0"/>
      <w:marBottom w:val="0"/>
      <w:divBdr>
        <w:top w:val="none" w:sz="0" w:space="0" w:color="auto"/>
        <w:left w:val="none" w:sz="0" w:space="0" w:color="auto"/>
        <w:bottom w:val="none" w:sz="0" w:space="0" w:color="auto"/>
        <w:right w:val="none" w:sz="0" w:space="0" w:color="auto"/>
      </w:divBdr>
    </w:div>
    <w:div w:id="351614083">
      <w:bodyDiv w:val="1"/>
      <w:marLeft w:val="0"/>
      <w:marRight w:val="0"/>
      <w:marTop w:val="0"/>
      <w:marBottom w:val="0"/>
      <w:divBdr>
        <w:top w:val="none" w:sz="0" w:space="0" w:color="auto"/>
        <w:left w:val="none" w:sz="0" w:space="0" w:color="auto"/>
        <w:bottom w:val="none" w:sz="0" w:space="0" w:color="auto"/>
        <w:right w:val="none" w:sz="0" w:space="0" w:color="auto"/>
      </w:divBdr>
    </w:div>
    <w:div w:id="548421091">
      <w:bodyDiv w:val="1"/>
      <w:marLeft w:val="0"/>
      <w:marRight w:val="0"/>
      <w:marTop w:val="0"/>
      <w:marBottom w:val="0"/>
      <w:divBdr>
        <w:top w:val="none" w:sz="0" w:space="0" w:color="auto"/>
        <w:left w:val="none" w:sz="0" w:space="0" w:color="auto"/>
        <w:bottom w:val="none" w:sz="0" w:space="0" w:color="auto"/>
        <w:right w:val="none" w:sz="0" w:space="0" w:color="auto"/>
      </w:divBdr>
    </w:div>
    <w:div w:id="821581711">
      <w:bodyDiv w:val="1"/>
      <w:marLeft w:val="0"/>
      <w:marRight w:val="0"/>
      <w:marTop w:val="0"/>
      <w:marBottom w:val="0"/>
      <w:divBdr>
        <w:top w:val="none" w:sz="0" w:space="0" w:color="auto"/>
        <w:left w:val="none" w:sz="0" w:space="0" w:color="auto"/>
        <w:bottom w:val="none" w:sz="0" w:space="0" w:color="auto"/>
        <w:right w:val="none" w:sz="0" w:space="0" w:color="auto"/>
      </w:divBdr>
    </w:div>
    <w:div w:id="925457133">
      <w:bodyDiv w:val="1"/>
      <w:marLeft w:val="0"/>
      <w:marRight w:val="0"/>
      <w:marTop w:val="0"/>
      <w:marBottom w:val="0"/>
      <w:divBdr>
        <w:top w:val="none" w:sz="0" w:space="0" w:color="auto"/>
        <w:left w:val="none" w:sz="0" w:space="0" w:color="auto"/>
        <w:bottom w:val="none" w:sz="0" w:space="0" w:color="auto"/>
        <w:right w:val="none" w:sz="0" w:space="0" w:color="auto"/>
      </w:divBdr>
    </w:div>
    <w:div w:id="1129199681">
      <w:bodyDiv w:val="1"/>
      <w:marLeft w:val="0"/>
      <w:marRight w:val="0"/>
      <w:marTop w:val="0"/>
      <w:marBottom w:val="0"/>
      <w:divBdr>
        <w:top w:val="none" w:sz="0" w:space="0" w:color="auto"/>
        <w:left w:val="none" w:sz="0" w:space="0" w:color="auto"/>
        <w:bottom w:val="none" w:sz="0" w:space="0" w:color="auto"/>
        <w:right w:val="none" w:sz="0" w:space="0" w:color="auto"/>
      </w:divBdr>
    </w:div>
    <w:div w:id="1679193327">
      <w:bodyDiv w:val="1"/>
      <w:marLeft w:val="0"/>
      <w:marRight w:val="0"/>
      <w:marTop w:val="0"/>
      <w:marBottom w:val="0"/>
      <w:divBdr>
        <w:top w:val="none" w:sz="0" w:space="0" w:color="auto"/>
        <w:left w:val="none" w:sz="0" w:space="0" w:color="auto"/>
        <w:bottom w:val="none" w:sz="0" w:space="0" w:color="auto"/>
        <w:right w:val="none" w:sz="0" w:space="0" w:color="auto"/>
      </w:divBdr>
    </w:div>
    <w:div w:id="1843352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atica.arambasic\Desktop\MF%20100%20IDENTITET%20STANDARDI\predlosci\memorandumi\MF%20100%20memo%20hrv.dotx" TargetMode="External"/></Relationships>
</file>

<file path=word/theme/theme1.xml><?xml version="1.0" encoding="utf-8"?>
<a:theme xmlns:a="http://schemas.openxmlformats.org/drawingml/2006/main" name="MEF">
  <a:themeElements>
    <a:clrScheme name="MEF">
      <a:dk1>
        <a:sysClr val="windowText" lastClr="000000"/>
      </a:dk1>
      <a:lt1>
        <a:sysClr val="window" lastClr="FFFFFF"/>
      </a:lt1>
      <a:dk2>
        <a:srgbClr val="032A5C"/>
      </a:dk2>
      <a:lt2>
        <a:srgbClr val="E6E6E6"/>
      </a:lt2>
      <a:accent1>
        <a:srgbClr val="032A5C"/>
      </a:accent1>
      <a:accent2>
        <a:srgbClr val="FFFFFF"/>
      </a:accent2>
      <a:accent3>
        <a:srgbClr val="000000"/>
      </a:accent3>
      <a:accent4>
        <a:srgbClr val="848484"/>
      </a:accent4>
      <a:accent5>
        <a:srgbClr val="BCBCBC"/>
      </a:accent5>
      <a:accent6>
        <a:srgbClr val="515151"/>
      </a:accent6>
      <a:hlink>
        <a:srgbClr val="FFFFFF"/>
      </a:hlink>
      <a:folHlink>
        <a:srgbClr val="FFFFFF"/>
      </a:folHlink>
    </a:clrScheme>
    <a:fontScheme name="MEF">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lIns="91440" tIns="45720" rIns="91440" bIns="45720" rtlCol="0" anchor="ctr">
        <a:norm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6779-F5C4-4C61-A79F-130DCA2A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 100 memo hrv</Template>
  <TotalTime>316</TotalTime>
  <Pages>9</Pages>
  <Words>3420</Words>
  <Characters>19496</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krikstudio</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katica.arambasic</dc:creator>
  <cp:keywords/>
  <dc:description/>
  <cp:lastModifiedBy>Ivana Ravlić</cp:lastModifiedBy>
  <cp:revision>228</cp:revision>
  <cp:lastPrinted>2022-10-03T11:49:00Z</cp:lastPrinted>
  <dcterms:created xsi:type="dcterms:W3CDTF">2022-10-03T08:51:00Z</dcterms:created>
  <dcterms:modified xsi:type="dcterms:W3CDTF">2022-12-11T13:42:00Z</dcterms:modified>
</cp:coreProperties>
</file>