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D114" w14:textId="77777777" w:rsidR="00B55A24" w:rsidRDefault="00B55A24" w:rsidP="00B55A24">
      <w:pPr>
        <w:jc w:val="center"/>
        <w:rPr>
          <w:rFonts w:cs="Calibri"/>
          <w:b/>
          <w:bCs/>
          <w:sz w:val="24"/>
          <w:szCs w:val="24"/>
        </w:rPr>
      </w:pPr>
    </w:p>
    <w:p w14:paraId="085FE8CD" w14:textId="77777777" w:rsidR="00B55A24" w:rsidRDefault="00B55A24" w:rsidP="00B55A24">
      <w:pPr>
        <w:jc w:val="center"/>
        <w:rPr>
          <w:rFonts w:cs="Calibri"/>
          <w:b/>
          <w:bCs/>
          <w:sz w:val="24"/>
          <w:szCs w:val="24"/>
        </w:rPr>
      </w:pPr>
    </w:p>
    <w:p w14:paraId="6272AF9A" w14:textId="30250FC0" w:rsidR="00B55A24" w:rsidRDefault="007A41A7" w:rsidP="00D761DD">
      <w:pPr>
        <w:rPr>
          <w:rFonts w:cs="Calibri"/>
          <w:b/>
          <w:bCs/>
          <w:sz w:val="24"/>
          <w:szCs w:val="24"/>
        </w:rPr>
      </w:pPr>
      <w:r>
        <w:rPr>
          <w:rFonts w:cs="Calibri"/>
          <w:b/>
          <w:bCs/>
          <w:sz w:val="24"/>
          <w:szCs w:val="24"/>
        </w:rPr>
        <w:t>SVEUČILIŠT</w:t>
      </w:r>
      <w:r w:rsidR="00A81F0E">
        <w:rPr>
          <w:rFonts w:cs="Calibri"/>
          <w:b/>
          <w:bCs/>
          <w:sz w:val="24"/>
          <w:szCs w:val="24"/>
        </w:rPr>
        <w:t xml:space="preserve">E U ZAGREBU </w:t>
      </w:r>
      <w:r w:rsidR="00A41B8D">
        <w:rPr>
          <w:rFonts w:cs="Calibri"/>
          <w:b/>
          <w:bCs/>
          <w:sz w:val="24"/>
          <w:szCs w:val="24"/>
        </w:rPr>
        <w:t>FILOZOFSKI FAKULTET</w:t>
      </w:r>
    </w:p>
    <w:p w14:paraId="18DA0089" w14:textId="77777777" w:rsidR="00D761DD" w:rsidRDefault="00D761DD" w:rsidP="00D761DD">
      <w:pPr>
        <w:rPr>
          <w:rFonts w:cs="Calibri"/>
          <w:b/>
          <w:bCs/>
          <w:sz w:val="24"/>
          <w:szCs w:val="24"/>
        </w:rPr>
      </w:pPr>
    </w:p>
    <w:p w14:paraId="64C78A73" w14:textId="7E533BB1" w:rsidR="00A81F0E" w:rsidRDefault="005F08CC" w:rsidP="00D761DD">
      <w:pPr>
        <w:rPr>
          <w:rFonts w:cs="Calibri"/>
          <w:b/>
          <w:bCs/>
          <w:sz w:val="24"/>
          <w:szCs w:val="24"/>
        </w:rPr>
      </w:pPr>
      <w:r>
        <w:rPr>
          <w:rFonts w:cs="Calibri"/>
          <w:b/>
          <w:bCs/>
          <w:sz w:val="24"/>
          <w:szCs w:val="24"/>
        </w:rPr>
        <w:t>IVANA LUČIĆA 3</w:t>
      </w:r>
    </w:p>
    <w:p w14:paraId="56174002" w14:textId="7C930FAE" w:rsidR="00A81F0E" w:rsidRDefault="00A81F0E" w:rsidP="00D761DD">
      <w:pPr>
        <w:rPr>
          <w:rFonts w:cs="Calibri"/>
          <w:b/>
          <w:bCs/>
          <w:sz w:val="24"/>
          <w:szCs w:val="24"/>
        </w:rPr>
      </w:pPr>
      <w:r>
        <w:rPr>
          <w:rFonts w:cs="Calibri"/>
          <w:b/>
          <w:bCs/>
          <w:sz w:val="24"/>
          <w:szCs w:val="24"/>
        </w:rPr>
        <w:t>10000 ZAGREB</w:t>
      </w:r>
    </w:p>
    <w:p w14:paraId="30CD7D0C" w14:textId="77777777" w:rsidR="00D761DD" w:rsidRDefault="00D761DD" w:rsidP="00D761DD">
      <w:pPr>
        <w:rPr>
          <w:rFonts w:cs="Calibri"/>
          <w:b/>
          <w:bCs/>
          <w:sz w:val="24"/>
          <w:szCs w:val="24"/>
        </w:rPr>
      </w:pPr>
    </w:p>
    <w:p w14:paraId="54FF6B96" w14:textId="5643127F" w:rsidR="00A81F0E" w:rsidRDefault="00A81F0E" w:rsidP="00D761DD">
      <w:pPr>
        <w:rPr>
          <w:rFonts w:cs="Calibri"/>
          <w:b/>
          <w:bCs/>
          <w:sz w:val="24"/>
          <w:szCs w:val="24"/>
        </w:rPr>
      </w:pPr>
      <w:r>
        <w:rPr>
          <w:rFonts w:cs="Calibri"/>
          <w:b/>
          <w:bCs/>
          <w:sz w:val="24"/>
          <w:szCs w:val="24"/>
        </w:rPr>
        <w:t>OIB:</w:t>
      </w:r>
      <w:r w:rsidR="005F08CC">
        <w:rPr>
          <w:rFonts w:cs="Calibri"/>
          <w:b/>
          <w:bCs/>
          <w:sz w:val="24"/>
          <w:szCs w:val="24"/>
        </w:rPr>
        <w:t xml:space="preserve"> 90633715804</w:t>
      </w:r>
    </w:p>
    <w:p w14:paraId="65CF31AE" w14:textId="04B42F50" w:rsidR="007A41A7" w:rsidRDefault="007A41A7" w:rsidP="00D761DD">
      <w:pPr>
        <w:rPr>
          <w:rFonts w:cs="Calibri"/>
          <w:b/>
          <w:bCs/>
          <w:sz w:val="24"/>
          <w:szCs w:val="24"/>
        </w:rPr>
      </w:pPr>
      <w:r>
        <w:rPr>
          <w:rFonts w:cs="Calibri"/>
          <w:b/>
          <w:bCs/>
          <w:sz w:val="24"/>
          <w:szCs w:val="24"/>
        </w:rPr>
        <w:t xml:space="preserve">RKP: </w:t>
      </w:r>
      <w:r w:rsidR="005F08CC">
        <w:rPr>
          <w:rFonts w:cs="Calibri"/>
          <w:b/>
          <w:bCs/>
          <w:sz w:val="24"/>
          <w:szCs w:val="24"/>
        </w:rPr>
        <w:t>1958</w:t>
      </w:r>
    </w:p>
    <w:p w14:paraId="58B1D865" w14:textId="77777777" w:rsidR="00B55A24" w:rsidRDefault="00B55A24" w:rsidP="00B55A24">
      <w:pPr>
        <w:jc w:val="center"/>
        <w:rPr>
          <w:rFonts w:cs="Calibri"/>
          <w:b/>
          <w:bCs/>
          <w:sz w:val="24"/>
          <w:szCs w:val="24"/>
        </w:rPr>
      </w:pPr>
    </w:p>
    <w:p w14:paraId="39C78205" w14:textId="77777777" w:rsidR="00B55A24" w:rsidRDefault="00B55A24" w:rsidP="00B55A24">
      <w:pPr>
        <w:jc w:val="center"/>
        <w:rPr>
          <w:rFonts w:cs="Calibri"/>
          <w:b/>
          <w:bCs/>
          <w:sz w:val="24"/>
          <w:szCs w:val="24"/>
        </w:rPr>
      </w:pPr>
    </w:p>
    <w:p w14:paraId="35D3BFCD" w14:textId="77777777" w:rsidR="00B55A24" w:rsidRDefault="00B55A24" w:rsidP="00B55A24">
      <w:pPr>
        <w:jc w:val="center"/>
        <w:rPr>
          <w:rFonts w:cs="Calibri"/>
          <w:b/>
          <w:bCs/>
          <w:sz w:val="24"/>
          <w:szCs w:val="24"/>
        </w:rPr>
      </w:pPr>
    </w:p>
    <w:p w14:paraId="07DD26C2" w14:textId="77777777" w:rsidR="00B55A24" w:rsidRDefault="00B55A24" w:rsidP="00AA0DE8">
      <w:pPr>
        <w:rPr>
          <w:rFonts w:cs="Calibri"/>
          <w:b/>
          <w:bCs/>
          <w:sz w:val="24"/>
          <w:szCs w:val="24"/>
        </w:rPr>
      </w:pPr>
    </w:p>
    <w:p w14:paraId="01F1B0C8" w14:textId="77777777" w:rsidR="007B5742" w:rsidRPr="007B5742" w:rsidRDefault="007B5742" w:rsidP="007B5742">
      <w:pPr>
        <w:jc w:val="center"/>
        <w:rPr>
          <w:rFonts w:ascii="Times New Roman" w:eastAsia="Arial" w:hAnsi="Times New Roman"/>
          <w:b/>
          <w:bCs/>
          <w:sz w:val="24"/>
          <w:szCs w:val="24"/>
        </w:rPr>
      </w:pPr>
      <w:r w:rsidRPr="007B5742">
        <w:rPr>
          <w:rFonts w:ascii="Times New Roman" w:eastAsia="Arial" w:hAnsi="Times New Roman"/>
          <w:b/>
          <w:bCs/>
          <w:sz w:val="24"/>
          <w:szCs w:val="24"/>
        </w:rPr>
        <w:t>OBRAZLOŽENJE POSEBNOG DIJELA FINANCIJSKOG PLANA ZA 2024. - 2026. GODINU</w:t>
      </w:r>
    </w:p>
    <w:p w14:paraId="30178A73" w14:textId="77777777" w:rsidR="007B5742" w:rsidRPr="007B5742" w:rsidRDefault="007B5742" w:rsidP="007B5742">
      <w:pPr>
        <w:rPr>
          <w:rFonts w:ascii="Times New Roman" w:eastAsia="Arial" w:hAnsi="Times New Roman"/>
          <w:b/>
          <w:bCs/>
        </w:rPr>
      </w:pPr>
    </w:p>
    <w:p w14:paraId="1227348D" w14:textId="77777777" w:rsidR="007B5742" w:rsidRPr="007B5742" w:rsidRDefault="007B5742" w:rsidP="007B5742">
      <w:pPr>
        <w:rPr>
          <w:rFonts w:ascii="Times New Roman" w:eastAsia="Arial" w:hAnsi="Times New Roman"/>
          <w:b/>
          <w:bCs/>
        </w:rPr>
      </w:pPr>
    </w:p>
    <w:p w14:paraId="4AD6E5CE" w14:textId="77777777" w:rsidR="007B5742" w:rsidRDefault="007B5742" w:rsidP="007B5742">
      <w:pPr>
        <w:rPr>
          <w:rFonts w:ascii="Times New Roman" w:eastAsia="Arial" w:hAnsi="Times New Roman"/>
          <w:b/>
          <w:bCs/>
        </w:rPr>
      </w:pPr>
    </w:p>
    <w:p w14:paraId="1117A1C8" w14:textId="77777777" w:rsidR="007B5742" w:rsidRPr="007B5742" w:rsidRDefault="007B5742" w:rsidP="007B5742">
      <w:pPr>
        <w:rPr>
          <w:rFonts w:ascii="Times New Roman" w:eastAsia="Arial" w:hAnsi="Times New Roman"/>
          <w:b/>
          <w:bCs/>
        </w:rPr>
      </w:pPr>
    </w:p>
    <w:p w14:paraId="313AF8F6" w14:textId="77777777" w:rsidR="007B5742" w:rsidRPr="007B5742" w:rsidRDefault="007B5742" w:rsidP="007B5742">
      <w:pPr>
        <w:rPr>
          <w:rFonts w:ascii="Times New Roman" w:eastAsia="Arial" w:hAnsi="Times New Roman"/>
          <w:b/>
          <w:bCs/>
        </w:rPr>
      </w:pPr>
    </w:p>
    <w:p w14:paraId="3E6DC923" w14:textId="77777777" w:rsidR="007B5742" w:rsidRPr="007B5742" w:rsidRDefault="007B5742" w:rsidP="007B5742">
      <w:pPr>
        <w:rPr>
          <w:rFonts w:ascii="Times New Roman" w:eastAsia="Arial" w:hAnsi="Times New Roman"/>
          <w:b/>
          <w:bCs/>
          <w:sz w:val="24"/>
          <w:szCs w:val="24"/>
        </w:rPr>
      </w:pPr>
      <w:r w:rsidRPr="007B5742">
        <w:rPr>
          <w:rFonts w:ascii="Times New Roman" w:eastAsia="Arial" w:hAnsi="Times New Roman"/>
          <w:b/>
          <w:bCs/>
          <w:sz w:val="24"/>
          <w:szCs w:val="24"/>
        </w:rPr>
        <w:t>UVOD – SAŽETAK DJELOKRUGA RADA</w:t>
      </w:r>
    </w:p>
    <w:p w14:paraId="14CA2067" w14:textId="77777777" w:rsidR="007B5742" w:rsidRPr="007B5742" w:rsidRDefault="007B5742" w:rsidP="007B5742">
      <w:pPr>
        <w:rPr>
          <w:rFonts w:ascii="Times New Roman" w:eastAsia="Arial" w:hAnsi="Times New Roman"/>
          <w:b/>
          <w:bCs/>
        </w:rPr>
      </w:pPr>
    </w:p>
    <w:p w14:paraId="2949DD58" w14:textId="77777777" w:rsidR="007B5742" w:rsidRPr="007B5742" w:rsidRDefault="007B5742" w:rsidP="007B5742">
      <w:pPr>
        <w:rPr>
          <w:rFonts w:ascii="Times New Roman" w:eastAsia="Arial" w:hAnsi="Times New Roman"/>
          <w:b/>
          <w:bCs/>
        </w:rPr>
      </w:pPr>
    </w:p>
    <w:p w14:paraId="11BD4F37" w14:textId="77777777" w:rsidR="007B5742" w:rsidRPr="007B5742" w:rsidRDefault="007B5742" w:rsidP="007B5742">
      <w:pPr>
        <w:rPr>
          <w:rFonts w:ascii="Times New Roman" w:eastAsia="Arial" w:hAnsi="Times New Roman"/>
          <w:b/>
          <w:bCs/>
        </w:rPr>
      </w:pPr>
    </w:p>
    <w:p w14:paraId="2694A715" w14:textId="77777777" w:rsidR="007B5742" w:rsidRPr="007B5742" w:rsidRDefault="007B5742" w:rsidP="007B5742">
      <w:pPr>
        <w:spacing w:after="160" w:line="276" w:lineRule="auto"/>
        <w:ind w:firstLine="360"/>
        <w:jc w:val="both"/>
        <w:rPr>
          <w:rFonts w:ascii="Times New Roman" w:eastAsia="Yu Mincho" w:hAnsi="Times New Roman"/>
          <w:sz w:val="24"/>
          <w:szCs w:val="24"/>
        </w:rPr>
      </w:pPr>
      <w:r w:rsidRPr="007B5742">
        <w:rPr>
          <w:rFonts w:ascii="Times New Roman" w:eastAsia="Yu Mincho" w:hAnsi="Times New Roman"/>
          <w:bCs/>
          <w:sz w:val="24"/>
          <w:szCs w:val="24"/>
        </w:rPr>
        <w:t>Djelatnosti Fakulteta:</w:t>
      </w:r>
      <w:r w:rsidRPr="007B5742">
        <w:rPr>
          <w:rFonts w:ascii="Times New Roman" w:eastAsia="Yu Mincho" w:hAnsi="Times New Roman"/>
          <w:sz w:val="24"/>
          <w:szCs w:val="24"/>
        </w:rPr>
        <w:t xml:space="preserve"> obrazovanje studenata na preddiplomskom, diplomskom i poslijediplomskom znanstvenom i stručnom studiju u znanstvenim područjima društvenih i humanističkih znanosti; stručno usavršavanje nastavnika; znanstveno-istraživačka djelatnost;  izrada i provedba znanstvenih, istraživačkih i stručnih projekata;  provedba postupka izbora u odgovarajuća zvanja u skladu sa Zakonom i drugim propisima;  obrazovanje odraslih;  izdavaštvo i pružanje usluga trgovačkim društvima i drugim organizacijama kada to služi razvoju osnovne djelatnosti.</w:t>
      </w:r>
    </w:p>
    <w:p w14:paraId="2FDA89A7" w14:textId="77777777" w:rsidR="007B5742" w:rsidRPr="007B5742" w:rsidRDefault="007B5742" w:rsidP="007B5742">
      <w:pPr>
        <w:spacing w:line="276" w:lineRule="auto"/>
        <w:jc w:val="both"/>
        <w:rPr>
          <w:rFonts w:eastAsia="Arial" w:cs="Calibri"/>
          <w:b/>
          <w:bCs/>
        </w:rPr>
      </w:pPr>
      <w:r w:rsidRPr="007B5742">
        <w:rPr>
          <w:rFonts w:ascii="Times New Roman" w:eastAsia="Yu Mincho" w:hAnsi="Times New Roman"/>
          <w:sz w:val="24"/>
          <w:szCs w:val="24"/>
        </w:rPr>
        <w:t>Naši se studenti obrazuju za preuzimanje odgovornih uloga u društvu kao što su  nastavničke, istraživačke,  kulture i stručne.</w:t>
      </w:r>
      <w:r w:rsidRPr="007B5742">
        <w:rPr>
          <w:rFonts w:eastAsia="Arial" w:cs="Calibri"/>
          <w:b/>
          <w:bCs/>
        </w:rPr>
        <w:t xml:space="preserve"> </w:t>
      </w:r>
      <w:r w:rsidRPr="007B5742">
        <w:rPr>
          <w:rFonts w:ascii="Times New Roman" w:eastAsia="Yu Mincho" w:hAnsi="Times New Roman"/>
          <w:sz w:val="24"/>
          <w:szCs w:val="24"/>
        </w:rPr>
        <w:t xml:space="preserve">Proces se vodi načelima podučavanja temeljenog na istraživanju, otvorenosti i etičnosti. Integrirani smo u europski istraživački prostor. Time mladim istraživačima omogućavamo pristup naprednim tehnologijama i vještinama. Sveučilišne studije izvodimo na svim trima razinama visokog obrazovanja: preddiplomskoj, diplomskoj i poslijediplomskoj. Trenutno se izvode 92 sveučilišna studija programa, te 15 doktorskih studija i 6 poslijediplomskih specijalističkih studija. </w:t>
      </w:r>
    </w:p>
    <w:p w14:paraId="6DDF87E8" w14:textId="77777777" w:rsidR="007B5742" w:rsidRPr="007B5742" w:rsidRDefault="007B5742" w:rsidP="007B5742">
      <w:pPr>
        <w:spacing w:line="276" w:lineRule="auto"/>
        <w:rPr>
          <w:rFonts w:eastAsia="Arial" w:cs="Calibri"/>
          <w:b/>
          <w:bCs/>
        </w:rPr>
      </w:pPr>
    </w:p>
    <w:p w14:paraId="336DD0FC" w14:textId="77777777" w:rsidR="007B5742" w:rsidRPr="007B5742" w:rsidRDefault="007B5742" w:rsidP="007B5742">
      <w:pPr>
        <w:spacing w:line="276" w:lineRule="auto"/>
        <w:jc w:val="both"/>
        <w:rPr>
          <w:rFonts w:ascii="Times New Roman" w:eastAsia="Yu Mincho" w:hAnsi="Times New Roman"/>
          <w:sz w:val="24"/>
          <w:szCs w:val="24"/>
        </w:rPr>
      </w:pPr>
      <w:r w:rsidRPr="007B5742">
        <w:rPr>
          <w:rFonts w:ascii="Times New Roman" w:eastAsia="Yu Mincho" w:hAnsi="Times New Roman"/>
          <w:sz w:val="24"/>
          <w:szCs w:val="24"/>
        </w:rPr>
        <w:t>Ciljevi programa cjeloživotnog učenja jesu ponuditi različite programe obrazovanja odraslih : od pojedinačnih modula preko tečajeva i specijalističkih studija do mogućnosti upisivanja cjelovitih studijskih programa. Važno je provoditi programe za psihološko, didaktičko-metodičko, andragoško i stručno dodatno cjeloživotno obrazovanje i osposobljavanje postojećih i budućih odgojitelja, učitelja, nastavnika i stručnih suradnika (savjetnika, mentora i trenera) koji rade u sustavu obrazovanja odraslih.</w:t>
      </w:r>
    </w:p>
    <w:p w14:paraId="16F71736" w14:textId="77777777" w:rsidR="007B5742" w:rsidRPr="007B5742" w:rsidRDefault="007B5742" w:rsidP="007B5742">
      <w:pPr>
        <w:rPr>
          <w:rFonts w:eastAsia="Arial"/>
          <w:b/>
          <w:sz w:val="24"/>
          <w:szCs w:val="24"/>
        </w:rPr>
      </w:pPr>
    </w:p>
    <w:p w14:paraId="204226EB" w14:textId="77777777" w:rsidR="007B5742" w:rsidRPr="007B5742" w:rsidRDefault="007B5742" w:rsidP="007B5742">
      <w:pPr>
        <w:rPr>
          <w:rFonts w:eastAsia="Arial"/>
          <w:b/>
          <w:sz w:val="24"/>
          <w:szCs w:val="24"/>
        </w:rPr>
      </w:pPr>
    </w:p>
    <w:p w14:paraId="24DBD6F8" w14:textId="77777777" w:rsidR="007B5742" w:rsidRPr="007B5742" w:rsidRDefault="007B5742" w:rsidP="007B5742">
      <w:pPr>
        <w:rPr>
          <w:rFonts w:eastAsia="Arial"/>
          <w:b/>
          <w:sz w:val="24"/>
          <w:szCs w:val="24"/>
        </w:rPr>
      </w:pPr>
    </w:p>
    <w:p w14:paraId="328C077F" w14:textId="77777777" w:rsidR="007B5742" w:rsidRDefault="007B5742" w:rsidP="007B5742">
      <w:pPr>
        <w:spacing w:after="176" w:line="252" w:lineRule="auto"/>
        <w:ind w:left="326" w:right="4"/>
        <w:jc w:val="both"/>
        <w:rPr>
          <w:rFonts w:eastAsia="Arial"/>
          <w:b/>
          <w:sz w:val="24"/>
          <w:szCs w:val="24"/>
        </w:rPr>
      </w:pPr>
    </w:p>
    <w:p w14:paraId="6B925159" w14:textId="45946EF9" w:rsidR="007B5742" w:rsidRDefault="007B5742" w:rsidP="007B5742">
      <w:pPr>
        <w:spacing w:after="176" w:line="252" w:lineRule="auto"/>
        <w:ind w:left="326" w:right="4"/>
        <w:jc w:val="both"/>
        <w:rPr>
          <w:rFonts w:ascii="Times New Roman" w:eastAsia="Arial" w:hAnsi="Times New Roman"/>
          <w:b/>
          <w:i/>
          <w:sz w:val="24"/>
          <w:szCs w:val="24"/>
        </w:rPr>
      </w:pPr>
      <w:r w:rsidRPr="007B5742">
        <w:rPr>
          <w:rFonts w:ascii="Times New Roman" w:eastAsia="Arial" w:hAnsi="Times New Roman"/>
          <w:b/>
          <w:i/>
          <w:sz w:val="24"/>
          <w:szCs w:val="24"/>
        </w:rPr>
        <w:lastRenderedPageBreak/>
        <w:t>A621001 Redovna djelatnost Sveučilišta u Zagrebu</w:t>
      </w:r>
    </w:p>
    <w:p w14:paraId="34C152A4" w14:textId="77777777" w:rsidR="007B5742" w:rsidRPr="007B5742" w:rsidRDefault="007B5742" w:rsidP="007B5742">
      <w:pPr>
        <w:spacing w:after="176" w:line="252" w:lineRule="auto"/>
        <w:ind w:left="326" w:right="4"/>
        <w:jc w:val="both"/>
        <w:rPr>
          <w:rFonts w:ascii="Times New Roman" w:eastAsia="Arial" w:hAnsi="Times New Roman"/>
          <w:b/>
          <w:i/>
          <w:sz w:val="24"/>
          <w:szCs w:val="24"/>
        </w:rPr>
      </w:pPr>
    </w:p>
    <w:p w14:paraId="6747B931"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Zakonske i druge pravne osnove</w:t>
      </w:r>
    </w:p>
    <w:p w14:paraId="4598825D"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Zakon o znanstvenoj djelatnosti i visokom obrazovanju</w:t>
      </w:r>
    </w:p>
    <w:p w14:paraId="06CE0367"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Uredba o nazivima radnih mjesta i koeficijenata složenosti poslova u javnim službama</w:t>
      </w:r>
    </w:p>
    <w:p w14:paraId="28654330"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Temeljni kolektivni ugovor za službenike i namještenike u javnim službama</w:t>
      </w:r>
    </w:p>
    <w:p w14:paraId="4FCF47D4"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Kolektivni ugovor za znanost i visoko obrazovanje</w:t>
      </w:r>
    </w:p>
    <w:p w14:paraId="5E035D1E"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Zakon o ustanovama</w:t>
      </w:r>
    </w:p>
    <w:p w14:paraId="42181E37"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Zakon o osiguranju kvalitete u znanosti i visokom obrazovanju</w:t>
      </w:r>
    </w:p>
    <w:p w14:paraId="324C0769"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Upute za izradu financijskog plana razdjela 080 – Ministarstvo znanosti i obrazovanja za razdoblje</w:t>
      </w:r>
    </w:p>
    <w:p w14:paraId="29C52269"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xml:space="preserve">   2024. – 2026.</w:t>
      </w:r>
    </w:p>
    <w:p w14:paraId="0AC5D2C4" w14:textId="77777777" w:rsidR="007B5742" w:rsidRDefault="007B5742" w:rsidP="007B5742">
      <w:pPr>
        <w:spacing w:after="176" w:line="252" w:lineRule="auto"/>
        <w:ind w:left="326" w:right="4"/>
        <w:jc w:val="both"/>
        <w:rPr>
          <w:rFonts w:eastAsia="Arial"/>
          <w:sz w:val="24"/>
          <w:szCs w:val="24"/>
        </w:rPr>
      </w:pPr>
      <w:r w:rsidRPr="007B5742">
        <w:rPr>
          <w:rFonts w:eastAsia="Arial"/>
          <w:sz w:val="24"/>
          <w:szCs w:val="24"/>
        </w:rPr>
        <w:t>- Upute za izradu prijedloga financijskog plana Sveučilišta u Zagrebu za razdoblje 2024.- 2026.</w:t>
      </w:r>
    </w:p>
    <w:p w14:paraId="559C1F0E" w14:textId="77777777" w:rsidR="007B5742" w:rsidRPr="007B5742" w:rsidRDefault="007B5742" w:rsidP="007B5742">
      <w:pPr>
        <w:spacing w:after="176" w:line="252" w:lineRule="auto"/>
        <w:ind w:left="326" w:right="4"/>
        <w:jc w:val="both"/>
        <w:rPr>
          <w:rFonts w:eastAsia="Arial"/>
          <w:sz w:val="24"/>
          <w:szCs w:val="24"/>
        </w:rPr>
      </w:pPr>
    </w:p>
    <w:tbl>
      <w:tblPr>
        <w:tblStyle w:val="TableGrid1"/>
        <w:tblW w:w="0" w:type="auto"/>
        <w:tblInd w:w="326" w:type="dxa"/>
        <w:tblLook w:val="04A0" w:firstRow="1" w:lastRow="0" w:firstColumn="1" w:lastColumn="0" w:noHBand="0" w:noVBand="1"/>
      </w:tblPr>
      <w:tblGrid>
        <w:gridCol w:w="1574"/>
        <w:gridCol w:w="1562"/>
        <w:gridCol w:w="1562"/>
        <w:gridCol w:w="1562"/>
        <w:gridCol w:w="1562"/>
        <w:gridCol w:w="1480"/>
      </w:tblGrid>
      <w:tr w:rsidR="00EB092A" w:rsidRPr="007B5742" w14:paraId="0C194B23" w14:textId="77777777" w:rsidTr="008A4405">
        <w:tc>
          <w:tcPr>
            <w:tcW w:w="1751" w:type="dxa"/>
          </w:tcPr>
          <w:p w14:paraId="62335AA7" w14:textId="77777777" w:rsidR="007B5742" w:rsidRPr="007B5742" w:rsidRDefault="007B5742" w:rsidP="007B5742">
            <w:pPr>
              <w:spacing w:after="176" w:line="252" w:lineRule="auto"/>
              <w:ind w:right="4"/>
              <w:jc w:val="both"/>
              <w:rPr>
                <w:rFonts w:eastAsia="Arial"/>
                <w:sz w:val="24"/>
                <w:szCs w:val="24"/>
              </w:rPr>
            </w:pPr>
          </w:p>
        </w:tc>
        <w:tc>
          <w:tcPr>
            <w:tcW w:w="1651" w:type="dxa"/>
          </w:tcPr>
          <w:p w14:paraId="6729B45F"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2023.</w:t>
            </w:r>
          </w:p>
        </w:tc>
        <w:tc>
          <w:tcPr>
            <w:tcW w:w="1651" w:type="dxa"/>
          </w:tcPr>
          <w:p w14:paraId="45F99C71"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2024.</w:t>
            </w:r>
          </w:p>
        </w:tc>
        <w:tc>
          <w:tcPr>
            <w:tcW w:w="1651" w:type="dxa"/>
          </w:tcPr>
          <w:p w14:paraId="13F38587"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2025.</w:t>
            </w:r>
          </w:p>
        </w:tc>
        <w:tc>
          <w:tcPr>
            <w:tcW w:w="1651" w:type="dxa"/>
          </w:tcPr>
          <w:p w14:paraId="005643CB"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2026.</w:t>
            </w:r>
          </w:p>
        </w:tc>
        <w:tc>
          <w:tcPr>
            <w:tcW w:w="1507" w:type="dxa"/>
          </w:tcPr>
          <w:p w14:paraId="08737B9F"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Indeks</w:t>
            </w:r>
          </w:p>
          <w:p w14:paraId="515A3111"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2024./2023.</w:t>
            </w:r>
          </w:p>
        </w:tc>
      </w:tr>
      <w:tr w:rsidR="00EB092A" w:rsidRPr="007B5742" w14:paraId="46ED5C4D" w14:textId="77777777" w:rsidTr="008A4405">
        <w:tc>
          <w:tcPr>
            <w:tcW w:w="1751" w:type="dxa"/>
          </w:tcPr>
          <w:p w14:paraId="41642C78"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A621001</w:t>
            </w:r>
          </w:p>
        </w:tc>
        <w:tc>
          <w:tcPr>
            <w:tcW w:w="1651" w:type="dxa"/>
          </w:tcPr>
          <w:p w14:paraId="3B0ADE9F"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23.778.651</w:t>
            </w:r>
          </w:p>
        </w:tc>
        <w:tc>
          <w:tcPr>
            <w:tcW w:w="1651" w:type="dxa"/>
          </w:tcPr>
          <w:p w14:paraId="2B0B4A3C" w14:textId="2A814C50"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25.</w:t>
            </w:r>
            <w:r w:rsidR="00EB092A">
              <w:rPr>
                <w:rFonts w:eastAsia="Arial"/>
                <w:sz w:val="24"/>
                <w:szCs w:val="24"/>
              </w:rPr>
              <w:t>460.098</w:t>
            </w:r>
          </w:p>
        </w:tc>
        <w:tc>
          <w:tcPr>
            <w:tcW w:w="1651" w:type="dxa"/>
          </w:tcPr>
          <w:p w14:paraId="6B2BBCC8" w14:textId="79F9526B"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25.</w:t>
            </w:r>
            <w:r w:rsidR="00EB092A">
              <w:rPr>
                <w:rFonts w:eastAsia="Arial"/>
                <w:sz w:val="24"/>
                <w:szCs w:val="24"/>
              </w:rPr>
              <w:t>537.796</w:t>
            </w:r>
          </w:p>
        </w:tc>
        <w:tc>
          <w:tcPr>
            <w:tcW w:w="1651" w:type="dxa"/>
          </w:tcPr>
          <w:p w14:paraId="07F62E75" w14:textId="4AF1AC68"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25.</w:t>
            </w:r>
            <w:r w:rsidR="00EB092A">
              <w:rPr>
                <w:rFonts w:eastAsia="Arial"/>
                <w:sz w:val="24"/>
                <w:szCs w:val="24"/>
              </w:rPr>
              <w:t>551.741</w:t>
            </w:r>
          </w:p>
        </w:tc>
        <w:tc>
          <w:tcPr>
            <w:tcW w:w="1507" w:type="dxa"/>
          </w:tcPr>
          <w:p w14:paraId="0A610444" w14:textId="24B88C9E"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10</w:t>
            </w:r>
            <w:r w:rsidR="00372FFB">
              <w:rPr>
                <w:rFonts w:eastAsia="Arial"/>
                <w:sz w:val="24"/>
                <w:szCs w:val="24"/>
              </w:rPr>
              <w:t>7,07</w:t>
            </w:r>
          </w:p>
        </w:tc>
      </w:tr>
    </w:tbl>
    <w:p w14:paraId="1AFAC746" w14:textId="77777777" w:rsidR="007B5742" w:rsidRPr="007B5742" w:rsidRDefault="007B5742" w:rsidP="007B5742">
      <w:pPr>
        <w:spacing w:after="176" w:line="252" w:lineRule="auto"/>
        <w:ind w:left="326" w:right="4"/>
        <w:jc w:val="both"/>
        <w:rPr>
          <w:rFonts w:eastAsia="Arial"/>
          <w:sz w:val="24"/>
          <w:szCs w:val="24"/>
        </w:rPr>
      </w:pPr>
      <w:r w:rsidRPr="007B5742">
        <w:rPr>
          <w:rFonts w:eastAsia="Arial"/>
          <w:sz w:val="24"/>
          <w:szCs w:val="24"/>
        </w:rPr>
        <w:t xml:space="preserve"> </w:t>
      </w:r>
    </w:p>
    <w:p w14:paraId="21BB7EFB" w14:textId="77777777" w:rsidR="007B5742" w:rsidRPr="007B5742" w:rsidRDefault="007B5742" w:rsidP="007B5742">
      <w:pPr>
        <w:spacing w:after="176" w:line="252" w:lineRule="auto"/>
        <w:ind w:left="326" w:right="4"/>
        <w:jc w:val="both"/>
        <w:rPr>
          <w:rFonts w:eastAsia="Arial"/>
          <w:sz w:val="24"/>
          <w:szCs w:val="24"/>
        </w:rPr>
      </w:pPr>
      <w:r w:rsidRPr="007B5742">
        <w:rPr>
          <w:rFonts w:eastAsia="Arial"/>
          <w:sz w:val="24"/>
          <w:szCs w:val="24"/>
        </w:rPr>
        <w:t xml:space="preserve">Ova aktivnost provodi se redovito, a financira se iz Općih prihoda i primitaka odnosno iz Državnog proračuna. Aktivnost se odnosi na planiranje rashoda za plaće i  druge materijalne rashode. </w:t>
      </w:r>
    </w:p>
    <w:p w14:paraId="5FE2138C" w14:textId="77777777" w:rsidR="007B5742" w:rsidRDefault="007B5742" w:rsidP="007B5742">
      <w:pPr>
        <w:spacing w:after="176" w:line="252" w:lineRule="auto"/>
        <w:ind w:left="326" w:right="4"/>
        <w:jc w:val="both"/>
        <w:rPr>
          <w:rFonts w:eastAsia="Arial"/>
          <w:sz w:val="24"/>
          <w:szCs w:val="24"/>
        </w:rPr>
      </w:pPr>
    </w:p>
    <w:p w14:paraId="45B93779" w14:textId="77777777" w:rsidR="007B5742" w:rsidRPr="007B5742" w:rsidRDefault="007B5742" w:rsidP="007B5742">
      <w:pPr>
        <w:spacing w:after="176" w:line="252" w:lineRule="auto"/>
        <w:ind w:left="326" w:right="4"/>
        <w:jc w:val="both"/>
        <w:rPr>
          <w:rFonts w:eastAsia="Arial"/>
          <w:sz w:val="24"/>
          <w:szCs w:val="24"/>
        </w:rPr>
      </w:pPr>
    </w:p>
    <w:p w14:paraId="5A014D3B" w14:textId="38D0DC95" w:rsidR="007B5742" w:rsidRDefault="007B5742" w:rsidP="007B5742">
      <w:pPr>
        <w:spacing w:after="176" w:line="252" w:lineRule="auto"/>
        <w:ind w:left="326" w:right="4"/>
        <w:jc w:val="both"/>
        <w:rPr>
          <w:rFonts w:eastAsia="Arial"/>
          <w:b/>
          <w:i/>
          <w:sz w:val="24"/>
          <w:szCs w:val="24"/>
        </w:rPr>
      </w:pPr>
      <w:r w:rsidRPr="007B5742">
        <w:rPr>
          <w:rFonts w:eastAsia="Arial"/>
          <w:b/>
          <w:i/>
          <w:sz w:val="24"/>
          <w:szCs w:val="24"/>
        </w:rPr>
        <w:t>A622122 Programsko financiranje javnih visokih učilišta</w:t>
      </w:r>
    </w:p>
    <w:p w14:paraId="13AA424D" w14:textId="77777777" w:rsidR="007B5742" w:rsidRPr="007B5742" w:rsidRDefault="007B5742" w:rsidP="007B5742">
      <w:pPr>
        <w:spacing w:after="176" w:line="252" w:lineRule="auto"/>
        <w:ind w:left="326" w:right="4"/>
        <w:jc w:val="both"/>
        <w:rPr>
          <w:rFonts w:eastAsia="Arial"/>
          <w:b/>
          <w:i/>
          <w:sz w:val="24"/>
          <w:szCs w:val="24"/>
        </w:rPr>
      </w:pPr>
    </w:p>
    <w:p w14:paraId="7EFCC1F2" w14:textId="77777777" w:rsidR="007B5742" w:rsidRPr="007B5742" w:rsidRDefault="007B5742" w:rsidP="007B5742">
      <w:pPr>
        <w:spacing w:after="176" w:line="252" w:lineRule="auto"/>
        <w:ind w:left="326" w:right="4"/>
        <w:jc w:val="both"/>
        <w:rPr>
          <w:rFonts w:eastAsia="Arial"/>
          <w:sz w:val="24"/>
          <w:szCs w:val="24"/>
        </w:rPr>
      </w:pPr>
      <w:r w:rsidRPr="007B5742">
        <w:rPr>
          <w:rFonts w:eastAsia="Arial"/>
          <w:sz w:val="24"/>
          <w:szCs w:val="24"/>
        </w:rPr>
        <w:t>Zakonske i druge pravne osnove</w:t>
      </w:r>
    </w:p>
    <w:p w14:paraId="41A9683C" w14:textId="77777777" w:rsidR="007B5742" w:rsidRPr="007B5742" w:rsidRDefault="007B5742" w:rsidP="007B5742">
      <w:pPr>
        <w:spacing w:after="176" w:line="252" w:lineRule="auto"/>
        <w:ind w:left="326" w:right="4"/>
        <w:jc w:val="both"/>
        <w:rPr>
          <w:rFonts w:eastAsia="Arial"/>
          <w:sz w:val="24"/>
          <w:szCs w:val="24"/>
        </w:rPr>
      </w:pPr>
      <w:r w:rsidRPr="007B5742">
        <w:rPr>
          <w:rFonts w:eastAsia="Arial"/>
          <w:sz w:val="24"/>
          <w:szCs w:val="24"/>
        </w:rPr>
        <w:t>- Zakon o znanstvenoj djelatnosti i visokom obrazovanju</w:t>
      </w:r>
    </w:p>
    <w:p w14:paraId="1B10A170" w14:textId="77777777" w:rsidR="007B5742" w:rsidRPr="007B5742" w:rsidRDefault="007B5742" w:rsidP="007B5742">
      <w:pPr>
        <w:spacing w:after="176" w:line="252" w:lineRule="auto"/>
        <w:ind w:left="326" w:right="4"/>
        <w:jc w:val="both"/>
        <w:rPr>
          <w:rFonts w:eastAsia="Arial"/>
          <w:sz w:val="24"/>
          <w:szCs w:val="24"/>
        </w:rPr>
      </w:pPr>
      <w:r w:rsidRPr="007B5742">
        <w:rPr>
          <w:rFonts w:eastAsia="Arial"/>
          <w:sz w:val="24"/>
          <w:szCs w:val="24"/>
        </w:rPr>
        <w:t>- Kolektivni ugovor za znanost i visoko obrazovanje</w:t>
      </w:r>
    </w:p>
    <w:p w14:paraId="680DFEC8" w14:textId="77777777" w:rsidR="007B5742" w:rsidRPr="007B5742" w:rsidRDefault="007B5742" w:rsidP="007B5742">
      <w:pPr>
        <w:spacing w:after="176" w:line="252" w:lineRule="auto"/>
        <w:ind w:left="326" w:right="4"/>
        <w:jc w:val="both"/>
        <w:rPr>
          <w:rFonts w:eastAsia="Arial"/>
          <w:sz w:val="24"/>
          <w:szCs w:val="24"/>
        </w:rPr>
      </w:pPr>
      <w:r w:rsidRPr="007B5742">
        <w:rPr>
          <w:rFonts w:eastAsia="Arial"/>
          <w:sz w:val="24"/>
          <w:szCs w:val="24"/>
        </w:rPr>
        <w:t>- Zakon o osiguranju kvalitete u znanosti i visokom obrazovanju</w:t>
      </w:r>
    </w:p>
    <w:p w14:paraId="7BF4283A" w14:textId="77777777" w:rsidR="007B5742" w:rsidRPr="007B5742" w:rsidRDefault="007B5742" w:rsidP="007B5742">
      <w:pPr>
        <w:spacing w:after="176" w:line="252" w:lineRule="auto"/>
        <w:ind w:left="326" w:right="4"/>
        <w:jc w:val="both"/>
        <w:rPr>
          <w:rFonts w:eastAsia="Arial"/>
          <w:sz w:val="24"/>
          <w:szCs w:val="24"/>
        </w:rPr>
      </w:pPr>
      <w:r w:rsidRPr="007B5742">
        <w:rPr>
          <w:rFonts w:eastAsia="Arial"/>
          <w:sz w:val="24"/>
          <w:szCs w:val="24"/>
        </w:rPr>
        <w:t>- Upute za izradu prijedloga financijskog plana Sveučilišta u Zagrebu za razdoblje 2024.- 2026.</w:t>
      </w:r>
    </w:p>
    <w:p w14:paraId="60B836A6" w14:textId="77777777" w:rsidR="007B5742" w:rsidRPr="007B5742" w:rsidRDefault="007B5742" w:rsidP="007B5742">
      <w:pPr>
        <w:spacing w:after="176" w:line="252" w:lineRule="auto"/>
        <w:ind w:left="326" w:right="4"/>
        <w:jc w:val="both"/>
        <w:rPr>
          <w:rFonts w:eastAsia="Arial"/>
          <w:sz w:val="24"/>
          <w:szCs w:val="24"/>
        </w:rPr>
      </w:pPr>
    </w:p>
    <w:tbl>
      <w:tblPr>
        <w:tblStyle w:val="TableGrid1"/>
        <w:tblW w:w="0" w:type="auto"/>
        <w:tblInd w:w="326" w:type="dxa"/>
        <w:tblLook w:val="04A0" w:firstRow="1" w:lastRow="0" w:firstColumn="1" w:lastColumn="0" w:noHBand="0" w:noVBand="1"/>
      </w:tblPr>
      <w:tblGrid>
        <w:gridCol w:w="1609"/>
        <w:gridCol w:w="1552"/>
        <w:gridCol w:w="1552"/>
        <w:gridCol w:w="1552"/>
        <w:gridCol w:w="1552"/>
        <w:gridCol w:w="1485"/>
      </w:tblGrid>
      <w:tr w:rsidR="007B5742" w:rsidRPr="007B5742" w14:paraId="40E22E45" w14:textId="77777777" w:rsidTr="008A4405">
        <w:tc>
          <w:tcPr>
            <w:tcW w:w="1751" w:type="dxa"/>
          </w:tcPr>
          <w:p w14:paraId="161568A1" w14:textId="77777777" w:rsidR="007B5742" w:rsidRPr="007B5742" w:rsidRDefault="007B5742" w:rsidP="007B5742">
            <w:pPr>
              <w:spacing w:after="176" w:line="252" w:lineRule="auto"/>
              <w:ind w:right="4"/>
              <w:jc w:val="both"/>
              <w:rPr>
                <w:rFonts w:eastAsia="Arial"/>
                <w:sz w:val="24"/>
                <w:szCs w:val="24"/>
              </w:rPr>
            </w:pPr>
          </w:p>
        </w:tc>
        <w:tc>
          <w:tcPr>
            <w:tcW w:w="1651" w:type="dxa"/>
          </w:tcPr>
          <w:p w14:paraId="4E5BB8A9"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2023.</w:t>
            </w:r>
          </w:p>
        </w:tc>
        <w:tc>
          <w:tcPr>
            <w:tcW w:w="1651" w:type="dxa"/>
          </w:tcPr>
          <w:p w14:paraId="2FC812DF"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2024.</w:t>
            </w:r>
          </w:p>
        </w:tc>
        <w:tc>
          <w:tcPr>
            <w:tcW w:w="1651" w:type="dxa"/>
          </w:tcPr>
          <w:p w14:paraId="2988C8EF"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2025.</w:t>
            </w:r>
          </w:p>
        </w:tc>
        <w:tc>
          <w:tcPr>
            <w:tcW w:w="1651" w:type="dxa"/>
          </w:tcPr>
          <w:p w14:paraId="7F913D15"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2026.</w:t>
            </w:r>
          </w:p>
        </w:tc>
        <w:tc>
          <w:tcPr>
            <w:tcW w:w="1507" w:type="dxa"/>
          </w:tcPr>
          <w:p w14:paraId="01E13AAE"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Indeks</w:t>
            </w:r>
          </w:p>
          <w:p w14:paraId="3894D5FD"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2024./2023.</w:t>
            </w:r>
          </w:p>
        </w:tc>
      </w:tr>
      <w:tr w:rsidR="007B5742" w:rsidRPr="007B5742" w14:paraId="5AC413B3" w14:textId="77777777" w:rsidTr="008A4405">
        <w:tc>
          <w:tcPr>
            <w:tcW w:w="1751" w:type="dxa"/>
          </w:tcPr>
          <w:p w14:paraId="4015D200"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A622122</w:t>
            </w:r>
          </w:p>
        </w:tc>
        <w:tc>
          <w:tcPr>
            <w:tcW w:w="1651" w:type="dxa"/>
          </w:tcPr>
          <w:p w14:paraId="2026280A"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1.662.826</w:t>
            </w:r>
          </w:p>
        </w:tc>
        <w:tc>
          <w:tcPr>
            <w:tcW w:w="1651" w:type="dxa"/>
          </w:tcPr>
          <w:p w14:paraId="72DAB988" w14:textId="56732D3B"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1.</w:t>
            </w:r>
            <w:r w:rsidR="00FB0E9F">
              <w:rPr>
                <w:rFonts w:eastAsia="Arial"/>
                <w:sz w:val="24"/>
                <w:szCs w:val="24"/>
              </w:rPr>
              <w:t>723.461</w:t>
            </w:r>
          </w:p>
        </w:tc>
        <w:tc>
          <w:tcPr>
            <w:tcW w:w="1651" w:type="dxa"/>
          </w:tcPr>
          <w:p w14:paraId="4C0C958F" w14:textId="6ACB3ACD" w:rsidR="007B5742" w:rsidRPr="007B5742" w:rsidRDefault="00FB0E9F" w:rsidP="007B5742">
            <w:pPr>
              <w:spacing w:after="176" w:line="252" w:lineRule="auto"/>
              <w:ind w:right="4"/>
              <w:jc w:val="both"/>
              <w:rPr>
                <w:rFonts w:eastAsia="Arial"/>
                <w:sz w:val="24"/>
                <w:szCs w:val="24"/>
              </w:rPr>
            </w:pPr>
            <w:r w:rsidRPr="007B5742">
              <w:rPr>
                <w:rFonts w:eastAsia="Arial"/>
                <w:sz w:val="24"/>
                <w:szCs w:val="24"/>
              </w:rPr>
              <w:t>1.</w:t>
            </w:r>
            <w:r>
              <w:rPr>
                <w:rFonts w:eastAsia="Arial"/>
                <w:sz w:val="24"/>
                <w:szCs w:val="24"/>
              </w:rPr>
              <w:t>723.461</w:t>
            </w:r>
          </w:p>
        </w:tc>
        <w:tc>
          <w:tcPr>
            <w:tcW w:w="1651" w:type="dxa"/>
          </w:tcPr>
          <w:p w14:paraId="19D2723B" w14:textId="6163F48D" w:rsidR="007B5742" w:rsidRPr="007B5742" w:rsidRDefault="00FB0E9F" w:rsidP="007B5742">
            <w:pPr>
              <w:spacing w:after="176" w:line="252" w:lineRule="auto"/>
              <w:ind w:right="4"/>
              <w:jc w:val="both"/>
              <w:rPr>
                <w:rFonts w:eastAsia="Arial"/>
                <w:sz w:val="24"/>
                <w:szCs w:val="24"/>
              </w:rPr>
            </w:pPr>
            <w:r w:rsidRPr="007B5742">
              <w:rPr>
                <w:rFonts w:eastAsia="Arial"/>
                <w:sz w:val="24"/>
                <w:szCs w:val="24"/>
              </w:rPr>
              <w:t>1.</w:t>
            </w:r>
            <w:r>
              <w:rPr>
                <w:rFonts w:eastAsia="Arial"/>
                <w:sz w:val="24"/>
                <w:szCs w:val="24"/>
              </w:rPr>
              <w:t>723.461</w:t>
            </w:r>
          </w:p>
        </w:tc>
        <w:tc>
          <w:tcPr>
            <w:tcW w:w="1507" w:type="dxa"/>
          </w:tcPr>
          <w:p w14:paraId="39750EC3" w14:textId="30004BEC"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10</w:t>
            </w:r>
            <w:r w:rsidR="00FB0E9F">
              <w:rPr>
                <w:rFonts w:eastAsia="Arial"/>
                <w:sz w:val="24"/>
                <w:szCs w:val="24"/>
              </w:rPr>
              <w:t>3,65</w:t>
            </w:r>
          </w:p>
        </w:tc>
      </w:tr>
    </w:tbl>
    <w:p w14:paraId="2F349118" w14:textId="77777777" w:rsidR="007B5742" w:rsidRPr="007B5742" w:rsidRDefault="007B5742" w:rsidP="007B5742">
      <w:pPr>
        <w:spacing w:after="176" w:line="252" w:lineRule="auto"/>
        <w:ind w:left="326" w:right="4"/>
        <w:jc w:val="both"/>
        <w:rPr>
          <w:rFonts w:eastAsia="Arial"/>
          <w:sz w:val="24"/>
          <w:szCs w:val="24"/>
        </w:rPr>
      </w:pPr>
    </w:p>
    <w:p w14:paraId="0EAF221C"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 xml:space="preserve">Aktivnost provodi se svake godine iz izvora financiranja 11 Opći prihodi i primici. Aktivnost se odnosi na pokrivanje materijalnih troškova Fakulteta, vanjske suradnje i nabave znanstvene opreme. Sredstva su planirana na temelju zadanih ograničenja Sveučilišta u Zagrebu, odnosno Ministarstva znanosti i obrazovanja. </w:t>
      </w:r>
    </w:p>
    <w:p w14:paraId="23ABF770" w14:textId="77777777" w:rsidR="007B5742" w:rsidRPr="007B5742" w:rsidRDefault="007B5742" w:rsidP="007B5742">
      <w:pPr>
        <w:spacing w:after="176" w:line="252" w:lineRule="auto"/>
        <w:ind w:right="4"/>
        <w:jc w:val="both"/>
        <w:rPr>
          <w:rFonts w:eastAsia="Arial"/>
          <w:sz w:val="24"/>
          <w:szCs w:val="24"/>
        </w:rPr>
      </w:pPr>
    </w:p>
    <w:p w14:paraId="1740385D" w14:textId="77777777" w:rsidR="007B5742" w:rsidRPr="007B5742" w:rsidRDefault="007B5742" w:rsidP="007B5742">
      <w:pPr>
        <w:spacing w:after="176" w:line="252" w:lineRule="auto"/>
        <w:ind w:left="326" w:right="4"/>
        <w:jc w:val="both"/>
        <w:rPr>
          <w:rFonts w:eastAsia="Arial"/>
          <w:b/>
          <w:bCs/>
          <w:i/>
          <w:iCs/>
          <w:sz w:val="24"/>
          <w:szCs w:val="24"/>
        </w:rPr>
      </w:pPr>
      <w:r w:rsidRPr="007B5742">
        <w:rPr>
          <w:rFonts w:eastAsia="Arial"/>
          <w:b/>
          <w:bCs/>
          <w:i/>
          <w:iCs/>
          <w:sz w:val="24"/>
          <w:szCs w:val="24"/>
        </w:rPr>
        <w:t>A621038 Programi vježbaonica visokih učilišta</w:t>
      </w:r>
    </w:p>
    <w:p w14:paraId="15BF15DD" w14:textId="77777777" w:rsidR="007B5742" w:rsidRPr="007B5742" w:rsidRDefault="007B5742" w:rsidP="007B5742">
      <w:pPr>
        <w:spacing w:after="176" w:line="252" w:lineRule="auto"/>
        <w:ind w:left="326" w:right="4"/>
        <w:jc w:val="both"/>
        <w:rPr>
          <w:rFonts w:eastAsia="Arial"/>
          <w:b/>
          <w:bCs/>
          <w:i/>
          <w:iCs/>
          <w:sz w:val="24"/>
          <w:szCs w:val="24"/>
        </w:rPr>
      </w:pPr>
    </w:p>
    <w:tbl>
      <w:tblPr>
        <w:tblStyle w:val="TableGrid1"/>
        <w:tblW w:w="0" w:type="auto"/>
        <w:tblInd w:w="326" w:type="dxa"/>
        <w:tblLook w:val="04A0" w:firstRow="1" w:lastRow="0" w:firstColumn="1" w:lastColumn="0" w:noHBand="0" w:noVBand="1"/>
      </w:tblPr>
      <w:tblGrid>
        <w:gridCol w:w="1654"/>
        <w:gridCol w:w="1539"/>
        <w:gridCol w:w="1539"/>
        <w:gridCol w:w="1539"/>
        <w:gridCol w:w="1539"/>
        <w:gridCol w:w="1492"/>
      </w:tblGrid>
      <w:tr w:rsidR="007B5742" w:rsidRPr="007B5742" w14:paraId="7F44FBC9" w14:textId="77777777" w:rsidTr="008A4405">
        <w:tc>
          <w:tcPr>
            <w:tcW w:w="1751" w:type="dxa"/>
          </w:tcPr>
          <w:p w14:paraId="5EB67D19" w14:textId="77777777" w:rsidR="007B5742" w:rsidRPr="007B5742" w:rsidRDefault="007B5742" w:rsidP="007B5742">
            <w:pPr>
              <w:spacing w:after="176" w:line="252" w:lineRule="auto"/>
              <w:ind w:right="4"/>
              <w:jc w:val="both"/>
              <w:rPr>
                <w:rFonts w:eastAsia="Arial"/>
                <w:sz w:val="24"/>
                <w:szCs w:val="24"/>
              </w:rPr>
            </w:pPr>
          </w:p>
        </w:tc>
        <w:tc>
          <w:tcPr>
            <w:tcW w:w="1651" w:type="dxa"/>
          </w:tcPr>
          <w:p w14:paraId="19EA22AB"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2023.</w:t>
            </w:r>
          </w:p>
        </w:tc>
        <w:tc>
          <w:tcPr>
            <w:tcW w:w="1651" w:type="dxa"/>
          </w:tcPr>
          <w:p w14:paraId="4640B3E4"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2024.</w:t>
            </w:r>
          </w:p>
        </w:tc>
        <w:tc>
          <w:tcPr>
            <w:tcW w:w="1651" w:type="dxa"/>
          </w:tcPr>
          <w:p w14:paraId="3B420D64"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2025.</w:t>
            </w:r>
          </w:p>
        </w:tc>
        <w:tc>
          <w:tcPr>
            <w:tcW w:w="1651" w:type="dxa"/>
          </w:tcPr>
          <w:p w14:paraId="70088DD1"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2026.</w:t>
            </w:r>
          </w:p>
        </w:tc>
        <w:tc>
          <w:tcPr>
            <w:tcW w:w="1507" w:type="dxa"/>
          </w:tcPr>
          <w:p w14:paraId="133578A0"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Indeks</w:t>
            </w:r>
          </w:p>
          <w:p w14:paraId="0561429C"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2024./2023.</w:t>
            </w:r>
          </w:p>
        </w:tc>
      </w:tr>
      <w:tr w:rsidR="007B5742" w:rsidRPr="007B5742" w14:paraId="5494E38D" w14:textId="77777777" w:rsidTr="008A4405">
        <w:tc>
          <w:tcPr>
            <w:tcW w:w="1751" w:type="dxa"/>
          </w:tcPr>
          <w:p w14:paraId="147C592A"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A621038</w:t>
            </w:r>
          </w:p>
        </w:tc>
        <w:tc>
          <w:tcPr>
            <w:tcW w:w="1651" w:type="dxa"/>
          </w:tcPr>
          <w:p w14:paraId="01755F94"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91.949</w:t>
            </w:r>
          </w:p>
        </w:tc>
        <w:tc>
          <w:tcPr>
            <w:tcW w:w="1651" w:type="dxa"/>
          </w:tcPr>
          <w:p w14:paraId="0EE0508A"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90.735</w:t>
            </w:r>
          </w:p>
        </w:tc>
        <w:tc>
          <w:tcPr>
            <w:tcW w:w="1651" w:type="dxa"/>
          </w:tcPr>
          <w:p w14:paraId="4E7E7235"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90.735</w:t>
            </w:r>
          </w:p>
        </w:tc>
        <w:tc>
          <w:tcPr>
            <w:tcW w:w="1651" w:type="dxa"/>
          </w:tcPr>
          <w:p w14:paraId="63F049CF"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90.735</w:t>
            </w:r>
          </w:p>
        </w:tc>
        <w:tc>
          <w:tcPr>
            <w:tcW w:w="1507" w:type="dxa"/>
          </w:tcPr>
          <w:p w14:paraId="144C7799"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98,68</w:t>
            </w:r>
          </w:p>
        </w:tc>
      </w:tr>
    </w:tbl>
    <w:p w14:paraId="6EEA7030" w14:textId="77777777" w:rsidR="007B5742" w:rsidRPr="007B5742" w:rsidRDefault="007B5742" w:rsidP="007B5742">
      <w:pPr>
        <w:spacing w:after="176" w:line="252" w:lineRule="auto"/>
        <w:ind w:right="4"/>
        <w:jc w:val="both"/>
        <w:rPr>
          <w:rFonts w:eastAsia="Arial"/>
          <w:sz w:val="24"/>
          <w:szCs w:val="24"/>
        </w:rPr>
      </w:pPr>
    </w:p>
    <w:p w14:paraId="32DEC4B8"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eastAsia="Arial"/>
          <w:sz w:val="24"/>
          <w:szCs w:val="24"/>
        </w:rPr>
        <w:t xml:space="preserve">Pod aktivnost </w:t>
      </w:r>
      <w:r w:rsidRPr="007B5742">
        <w:rPr>
          <w:rFonts w:ascii="Times New Roman" w:eastAsia="Arial" w:hAnsi="Times New Roman"/>
          <w:sz w:val="24"/>
          <w:szCs w:val="24"/>
        </w:rPr>
        <w:t xml:space="preserve">Programi vježbaonica visokih učilišta planirana je mentorska nastava za dio naših studenata. </w:t>
      </w:r>
    </w:p>
    <w:p w14:paraId="1A9D00B7" w14:textId="77777777" w:rsidR="007B5742" w:rsidRPr="007B5742" w:rsidRDefault="007B5742" w:rsidP="007B5742">
      <w:pPr>
        <w:spacing w:after="176" w:line="252" w:lineRule="auto"/>
        <w:ind w:right="4"/>
        <w:jc w:val="both"/>
        <w:rPr>
          <w:rFonts w:ascii="Times New Roman" w:eastAsia="Arial" w:hAnsi="Times New Roman"/>
          <w:sz w:val="24"/>
          <w:szCs w:val="24"/>
        </w:rPr>
      </w:pPr>
    </w:p>
    <w:p w14:paraId="14313F6E" w14:textId="77777777" w:rsidR="007B5742" w:rsidRPr="007B5742" w:rsidRDefault="007B5742" w:rsidP="007B5742">
      <w:pPr>
        <w:spacing w:after="176" w:line="252" w:lineRule="auto"/>
        <w:ind w:left="326" w:right="4"/>
        <w:jc w:val="both"/>
        <w:rPr>
          <w:rFonts w:eastAsia="Arial"/>
          <w:b/>
          <w:i/>
          <w:sz w:val="24"/>
          <w:szCs w:val="24"/>
        </w:rPr>
      </w:pPr>
      <w:r w:rsidRPr="007B5742">
        <w:rPr>
          <w:rFonts w:eastAsia="Arial"/>
          <w:b/>
          <w:i/>
          <w:sz w:val="24"/>
          <w:szCs w:val="24"/>
        </w:rPr>
        <w:t>A679088 Redovna djelatnost Sveučilišta u Zagrebu Filozofski fakultet (iz EV prihoda)</w:t>
      </w:r>
    </w:p>
    <w:p w14:paraId="405B155C" w14:textId="77777777" w:rsidR="007B5742" w:rsidRPr="007B5742" w:rsidRDefault="007B5742" w:rsidP="007B5742">
      <w:pPr>
        <w:spacing w:after="176" w:line="252" w:lineRule="auto"/>
        <w:ind w:left="326" w:right="4"/>
        <w:jc w:val="both"/>
        <w:rPr>
          <w:rFonts w:eastAsia="Arial"/>
          <w:sz w:val="24"/>
          <w:szCs w:val="24"/>
        </w:rPr>
      </w:pPr>
    </w:p>
    <w:p w14:paraId="014F3F52"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Zakonske i druge pravne osnove</w:t>
      </w:r>
    </w:p>
    <w:p w14:paraId="583CD88C"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Zakon o znanstvenoj djelatnosti i visokom obrazovanju</w:t>
      </w:r>
    </w:p>
    <w:p w14:paraId="314C4FB3"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Temeljni kolektivni ugovor za službenike i namještenike u javnim službama</w:t>
      </w:r>
    </w:p>
    <w:p w14:paraId="579A46FD"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Kolektivni ugovor za znanost i visoko obrazovanje</w:t>
      </w:r>
    </w:p>
    <w:p w14:paraId="54A24441"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Zakon o ustanovama</w:t>
      </w:r>
    </w:p>
    <w:p w14:paraId="7021647A"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Pravilnik o stjecanju i načinu korištenja vlastitih prihoda</w:t>
      </w:r>
    </w:p>
    <w:p w14:paraId="4C18879E"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Pravilnik o izdavačkoj djelatnosti Filozofskog fakulteta u Zagrebu</w:t>
      </w:r>
    </w:p>
    <w:p w14:paraId="6417966E" w14:textId="77777777" w:rsidR="007B5742" w:rsidRPr="007B5742" w:rsidRDefault="007B5742" w:rsidP="007B5742">
      <w:pPr>
        <w:spacing w:after="176" w:line="252" w:lineRule="auto"/>
        <w:ind w:left="326" w:right="4"/>
        <w:jc w:val="both"/>
        <w:rPr>
          <w:rFonts w:eastAsia="Arial"/>
          <w:sz w:val="24"/>
          <w:szCs w:val="24"/>
        </w:rPr>
      </w:pPr>
      <w:r w:rsidRPr="007B5742">
        <w:rPr>
          <w:rFonts w:ascii="Times New Roman" w:eastAsia="Arial" w:hAnsi="Times New Roman"/>
          <w:sz w:val="24"/>
          <w:szCs w:val="24"/>
        </w:rPr>
        <w:t>- Pravilnik o osnovama financiranja Sveučilišta u Zagrebu</w:t>
      </w:r>
    </w:p>
    <w:tbl>
      <w:tblPr>
        <w:tblStyle w:val="TableGrid1"/>
        <w:tblW w:w="0" w:type="auto"/>
        <w:tblInd w:w="326" w:type="dxa"/>
        <w:tblLook w:val="04A0" w:firstRow="1" w:lastRow="0" w:firstColumn="1" w:lastColumn="0" w:noHBand="0" w:noVBand="1"/>
      </w:tblPr>
      <w:tblGrid>
        <w:gridCol w:w="1609"/>
        <w:gridCol w:w="1552"/>
        <w:gridCol w:w="1552"/>
        <w:gridCol w:w="1552"/>
        <w:gridCol w:w="1552"/>
        <w:gridCol w:w="1485"/>
      </w:tblGrid>
      <w:tr w:rsidR="007B5742" w:rsidRPr="007B5742" w14:paraId="1B347C1E" w14:textId="77777777" w:rsidTr="008A4405">
        <w:tc>
          <w:tcPr>
            <w:tcW w:w="1751" w:type="dxa"/>
          </w:tcPr>
          <w:p w14:paraId="77F2F896" w14:textId="77777777" w:rsidR="007B5742" w:rsidRPr="007B5742" w:rsidRDefault="007B5742" w:rsidP="007B5742">
            <w:pPr>
              <w:spacing w:after="176" w:line="252" w:lineRule="auto"/>
              <w:ind w:right="4"/>
              <w:jc w:val="both"/>
              <w:rPr>
                <w:rFonts w:eastAsia="Arial"/>
                <w:sz w:val="24"/>
                <w:szCs w:val="24"/>
              </w:rPr>
            </w:pPr>
          </w:p>
        </w:tc>
        <w:tc>
          <w:tcPr>
            <w:tcW w:w="1651" w:type="dxa"/>
          </w:tcPr>
          <w:p w14:paraId="3F3791A5"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2023.</w:t>
            </w:r>
          </w:p>
        </w:tc>
        <w:tc>
          <w:tcPr>
            <w:tcW w:w="1651" w:type="dxa"/>
          </w:tcPr>
          <w:p w14:paraId="51DB4A38"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2024.</w:t>
            </w:r>
          </w:p>
        </w:tc>
        <w:tc>
          <w:tcPr>
            <w:tcW w:w="1651" w:type="dxa"/>
          </w:tcPr>
          <w:p w14:paraId="64BB3A08"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2025.</w:t>
            </w:r>
          </w:p>
        </w:tc>
        <w:tc>
          <w:tcPr>
            <w:tcW w:w="1651" w:type="dxa"/>
          </w:tcPr>
          <w:p w14:paraId="7DAE3020"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Plan 2026.</w:t>
            </w:r>
          </w:p>
        </w:tc>
        <w:tc>
          <w:tcPr>
            <w:tcW w:w="1507" w:type="dxa"/>
          </w:tcPr>
          <w:p w14:paraId="1E79390F"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Indeks</w:t>
            </w:r>
          </w:p>
          <w:p w14:paraId="2B8EAAA0"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2024./2023.</w:t>
            </w:r>
          </w:p>
        </w:tc>
      </w:tr>
      <w:tr w:rsidR="007B5742" w:rsidRPr="007B5742" w14:paraId="31EA8912" w14:textId="77777777" w:rsidTr="008A4405">
        <w:tc>
          <w:tcPr>
            <w:tcW w:w="1751" w:type="dxa"/>
          </w:tcPr>
          <w:p w14:paraId="478A4305"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A679088</w:t>
            </w:r>
          </w:p>
        </w:tc>
        <w:tc>
          <w:tcPr>
            <w:tcW w:w="1651" w:type="dxa"/>
          </w:tcPr>
          <w:p w14:paraId="1E39F288"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3.265.010</w:t>
            </w:r>
          </w:p>
        </w:tc>
        <w:tc>
          <w:tcPr>
            <w:tcW w:w="1651" w:type="dxa"/>
          </w:tcPr>
          <w:p w14:paraId="301A0B79"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2.613.879</w:t>
            </w:r>
          </w:p>
        </w:tc>
        <w:tc>
          <w:tcPr>
            <w:tcW w:w="1651" w:type="dxa"/>
          </w:tcPr>
          <w:p w14:paraId="7236E00B"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2.314.907</w:t>
            </w:r>
          </w:p>
        </w:tc>
        <w:tc>
          <w:tcPr>
            <w:tcW w:w="1651" w:type="dxa"/>
          </w:tcPr>
          <w:p w14:paraId="3E3E03F3"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2.159.979</w:t>
            </w:r>
          </w:p>
        </w:tc>
        <w:tc>
          <w:tcPr>
            <w:tcW w:w="1507" w:type="dxa"/>
          </w:tcPr>
          <w:p w14:paraId="6C2A6827" w14:textId="77777777" w:rsidR="007B5742" w:rsidRPr="007B5742" w:rsidRDefault="007B5742" w:rsidP="007B5742">
            <w:pPr>
              <w:spacing w:after="176" w:line="252" w:lineRule="auto"/>
              <w:ind w:right="4"/>
              <w:jc w:val="both"/>
              <w:rPr>
                <w:rFonts w:eastAsia="Arial"/>
                <w:sz w:val="24"/>
                <w:szCs w:val="24"/>
              </w:rPr>
            </w:pPr>
            <w:r w:rsidRPr="007B5742">
              <w:rPr>
                <w:rFonts w:eastAsia="Arial"/>
                <w:sz w:val="24"/>
                <w:szCs w:val="24"/>
              </w:rPr>
              <w:t>80,06</w:t>
            </w:r>
          </w:p>
        </w:tc>
      </w:tr>
    </w:tbl>
    <w:p w14:paraId="0D993668" w14:textId="77777777" w:rsidR="007B5742" w:rsidRPr="007B5742" w:rsidRDefault="007B5742" w:rsidP="007B5742">
      <w:pPr>
        <w:spacing w:after="176" w:line="252" w:lineRule="auto"/>
        <w:ind w:right="4"/>
        <w:jc w:val="both"/>
        <w:rPr>
          <w:rFonts w:eastAsia="Arial"/>
          <w:sz w:val="24"/>
          <w:szCs w:val="24"/>
        </w:rPr>
      </w:pPr>
    </w:p>
    <w:p w14:paraId="49C8F678" w14:textId="77777777" w:rsidR="007B5742" w:rsidRPr="007B5742" w:rsidRDefault="007B5742" w:rsidP="007B5742">
      <w:pPr>
        <w:spacing w:after="176" w:line="252" w:lineRule="auto"/>
        <w:ind w:right="4"/>
        <w:jc w:val="both"/>
        <w:rPr>
          <w:rFonts w:eastAsia="Arial"/>
          <w:sz w:val="24"/>
          <w:szCs w:val="24"/>
        </w:rPr>
      </w:pPr>
    </w:p>
    <w:p w14:paraId="3DA42665"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Ova aktivnost financira se iz slijedećih izvora:</w:t>
      </w:r>
    </w:p>
    <w:p w14:paraId="5D61D17F" w14:textId="77777777" w:rsidR="007B5742" w:rsidRPr="007B5742" w:rsidRDefault="007B5742" w:rsidP="007B5742">
      <w:pPr>
        <w:spacing w:after="176" w:line="252" w:lineRule="auto"/>
        <w:ind w:right="4"/>
        <w:jc w:val="both"/>
        <w:rPr>
          <w:rFonts w:ascii="Times New Roman" w:eastAsia="Arial" w:hAnsi="Times New Roman"/>
          <w:sz w:val="24"/>
          <w:szCs w:val="24"/>
        </w:rPr>
      </w:pPr>
    </w:p>
    <w:p w14:paraId="0CAEE90E"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 xml:space="preserve">31 Vlastiti prihodi </w:t>
      </w:r>
    </w:p>
    <w:p w14:paraId="2D2F717D"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 xml:space="preserve">Fakultet ostvaruje vlastite prihode od tečajeva stalnog usavršavanja i programa cjeloživotnog obrazovanja koje izvode Centar za strane jezike i Croaticum – Centar za hrvatski kao drugi i strani jezik i specijalističkog poslijediplomskog studija.  Prihod fakultet ostvaruje i od stručnih projekata, prijevoda, elaborata, ekspertiza i ostalih sličnih poslova, stručnih mišljenja u izboru u zvanje, nakladničke djelatnosti, naknade nastalih troškova studija, iznajmljivanje prostora, usluge snimanja i drugih stručnih usluga. Iz ostvarenih prihoda podmiruju se materijalni troškovi koji su povezani sa izvođenjem tečaja i studija, rashoda za zaposlene koji su potrebni za obavljanje dopunske djelatnosti i ostalih troškova. </w:t>
      </w:r>
    </w:p>
    <w:p w14:paraId="1021931E" w14:textId="77777777" w:rsidR="007B5742" w:rsidRPr="007B5742" w:rsidRDefault="007B5742" w:rsidP="007B5742">
      <w:pPr>
        <w:spacing w:after="176" w:line="252" w:lineRule="auto"/>
        <w:ind w:right="4"/>
        <w:jc w:val="both"/>
        <w:rPr>
          <w:rFonts w:eastAsia="Arial"/>
          <w:sz w:val="24"/>
          <w:szCs w:val="24"/>
        </w:rPr>
      </w:pPr>
    </w:p>
    <w:p w14:paraId="73159D0B"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43 Ostali prihodi za posebne namjene</w:t>
      </w:r>
    </w:p>
    <w:p w14:paraId="1F36A336"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 xml:space="preserve">Prihodi iz ovog izvora odnose na prihode ostvarene od  participacije studenata kojima studenti sudjeluju u troškovima redovitih prijediplomskih i diplomskih studija, školarina od doktorskih studija i izvanrednog studija bibliotekarstvo. Prihodi se koriste za podmirenje zajedničkih troškova Fakulteta koje se troše na materijalne rashode vezane uz rad organizacijskih  jedinica, rashode za zaposlene koji se ne financiraju iz Državnog proračuna i nabavu opreme. Prihodom od doktorskih studija podmiruju se materijalni troškovi povezani s izvođenjem programa i naknade za rad nastavnicima. </w:t>
      </w:r>
    </w:p>
    <w:p w14:paraId="0E201DF8" w14:textId="77777777" w:rsidR="007B5742" w:rsidRPr="007B5742" w:rsidRDefault="007B5742" w:rsidP="007B5742">
      <w:pPr>
        <w:spacing w:after="176" w:line="252" w:lineRule="auto"/>
        <w:ind w:right="4"/>
        <w:jc w:val="both"/>
        <w:rPr>
          <w:rFonts w:ascii="Times New Roman" w:eastAsia="Arial" w:hAnsi="Times New Roman"/>
          <w:sz w:val="24"/>
          <w:szCs w:val="24"/>
        </w:rPr>
      </w:pPr>
    </w:p>
    <w:p w14:paraId="012A7449"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61 Donacije</w:t>
      </w:r>
    </w:p>
    <w:p w14:paraId="54BBC90B" w14:textId="77777777" w:rsidR="007B5742" w:rsidRPr="007B5742" w:rsidRDefault="007B5742" w:rsidP="007B5742">
      <w:pPr>
        <w:jc w:val="both"/>
        <w:rPr>
          <w:rFonts w:ascii="Times New Roman" w:eastAsia="Calibri" w:hAnsi="Times New Roman"/>
          <w:bCs/>
          <w:sz w:val="24"/>
          <w:szCs w:val="24"/>
        </w:rPr>
      </w:pPr>
      <w:r w:rsidRPr="007B5742">
        <w:rPr>
          <w:rFonts w:ascii="Times New Roman" w:eastAsia="Arial" w:hAnsi="Times New Roman"/>
          <w:sz w:val="24"/>
          <w:szCs w:val="24"/>
        </w:rPr>
        <w:t>Na izvoru 61 su prihodi koje Fakultet ostvaruje od</w:t>
      </w:r>
      <w:r w:rsidRPr="007B5742">
        <w:rPr>
          <w:rFonts w:ascii="Times New Roman" w:eastAsia="Calibri" w:hAnsi="Times New Roman"/>
          <w:bCs/>
          <w:sz w:val="24"/>
          <w:szCs w:val="24"/>
        </w:rPr>
        <w:t xml:space="preserve"> projekta sa neprofitnom organizacijom kojem  je Fakultet partner. </w:t>
      </w:r>
    </w:p>
    <w:p w14:paraId="431C9180" w14:textId="77777777" w:rsidR="007B5742" w:rsidRPr="007B5742" w:rsidRDefault="007B5742" w:rsidP="007B5742">
      <w:pPr>
        <w:spacing w:after="176" w:line="252" w:lineRule="auto"/>
        <w:ind w:right="4"/>
        <w:jc w:val="both"/>
        <w:rPr>
          <w:rFonts w:eastAsia="Arial"/>
          <w:sz w:val="24"/>
          <w:szCs w:val="24"/>
        </w:rPr>
      </w:pPr>
    </w:p>
    <w:p w14:paraId="3A06AD06"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52 Ostale pomoći</w:t>
      </w:r>
    </w:p>
    <w:p w14:paraId="2D288AA2" w14:textId="77777777" w:rsidR="007B5742" w:rsidRPr="007B5742" w:rsidRDefault="007B5742" w:rsidP="007B5742">
      <w:pPr>
        <w:spacing w:after="176" w:line="252" w:lineRule="auto"/>
        <w:ind w:right="4"/>
        <w:jc w:val="both"/>
        <w:rPr>
          <w:rFonts w:eastAsia="Arial"/>
          <w:sz w:val="24"/>
          <w:szCs w:val="24"/>
        </w:rPr>
      </w:pPr>
      <w:r w:rsidRPr="007B5742">
        <w:rPr>
          <w:rFonts w:ascii="Times New Roman" w:eastAsia="Arial" w:hAnsi="Times New Roman"/>
          <w:sz w:val="24"/>
          <w:szCs w:val="24"/>
        </w:rPr>
        <w:t xml:space="preserve">Prihod iz izvora 52 odnose na prihode od Hrvatske zaklade za znanost (HRZZ) za projektno financiranje znanstvene djelatnosti te financiranje doktoranada i poslijedoktoranada zaposlenih na teret HRZZ-a. Od navedenih prihoda financiraju se rashodi za zaposlene na projektu i materijalni troškovi koji su potrebni za izvođenje projekata.  </w:t>
      </w:r>
    </w:p>
    <w:p w14:paraId="075B3F53" w14:textId="77777777" w:rsidR="007B5742" w:rsidRPr="007B5742" w:rsidRDefault="007B5742" w:rsidP="007B5742">
      <w:pPr>
        <w:spacing w:after="176" w:line="252" w:lineRule="auto"/>
        <w:ind w:right="4"/>
        <w:jc w:val="both"/>
        <w:rPr>
          <w:rFonts w:eastAsia="Arial"/>
          <w:sz w:val="24"/>
          <w:szCs w:val="24"/>
        </w:rPr>
      </w:pPr>
    </w:p>
    <w:p w14:paraId="5298F7CB" w14:textId="77777777" w:rsidR="007B5742" w:rsidRPr="007B5742" w:rsidRDefault="007B5742" w:rsidP="007B5742">
      <w:pPr>
        <w:framePr w:hSpace="180" w:wrap="around" w:vAnchor="page" w:hAnchor="margin" w:y="1561"/>
        <w:ind w:right="6"/>
        <w:rPr>
          <w:rFonts w:eastAsia="Times New Roman" w:cs="Calibri"/>
          <w:sz w:val="24"/>
          <w:szCs w:val="24"/>
          <w:lang w:eastAsia="hr-HR"/>
        </w:rPr>
      </w:pPr>
    </w:p>
    <w:p w14:paraId="5166F9C4" w14:textId="77777777" w:rsidR="007B5742" w:rsidRPr="007B5742" w:rsidRDefault="007B5742" w:rsidP="007B5742">
      <w:pPr>
        <w:spacing w:after="176" w:line="252" w:lineRule="auto"/>
        <w:ind w:right="4"/>
        <w:jc w:val="both"/>
        <w:rPr>
          <w:rFonts w:ascii="Times New Roman" w:eastAsia="Arial" w:hAnsi="Times New Roman"/>
          <w:b/>
          <w:i/>
          <w:sz w:val="24"/>
          <w:szCs w:val="24"/>
        </w:rPr>
      </w:pPr>
      <w:r w:rsidRPr="007B5742">
        <w:rPr>
          <w:rFonts w:ascii="Times New Roman" w:eastAsia="Arial" w:hAnsi="Times New Roman"/>
          <w:b/>
          <w:i/>
          <w:sz w:val="24"/>
          <w:szCs w:val="24"/>
        </w:rPr>
        <w:t>A679078 EU projekti Sveučilišta u Zagrebu Filozofski fakultet (iz EV prihoda)</w:t>
      </w:r>
    </w:p>
    <w:p w14:paraId="7688B7EE" w14:textId="77777777" w:rsidR="007B5742" w:rsidRPr="007B5742" w:rsidRDefault="007B5742" w:rsidP="007B5742">
      <w:pPr>
        <w:spacing w:after="176" w:line="252" w:lineRule="auto"/>
        <w:ind w:left="326" w:right="4"/>
        <w:jc w:val="both"/>
        <w:rPr>
          <w:rFonts w:ascii="Times New Roman" w:eastAsia="Arial" w:hAnsi="Times New Roman"/>
          <w:sz w:val="24"/>
          <w:szCs w:val="24"/>
        </w:rPr>
      </w:pPr>
    </w:p>
    <w:p w14:paraId="76051C98"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Zakonske i druge pravne osnove</w:t>
      </w:r>
    </w:p>
    <w:p w14:paraId="3D26EC3A"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Zakon o znanstvenoj djelatnosti i visokom obrazovanju</w:t>
      </w:r>
    </w:p>
    <w:p w14:paraId="19415466"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Ugovori o financiranju projekata</w:t>
      </w:r>
    </w:p>
    <w:p w14:paraId="7A4F9309"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Ova aktivnost se sastoji od slijedećih projekata:</w:t>
      </w:r>
    </w:p>
    <w:p w14:paraId="038D0ABA" w14:textId="77777777" w:rsidR="007B5742" w:rsidRDefault="007B5742" w:rsidP="007B5742">
      <w:pPr>
        <w:spacing w:after="160" w:line="256" w:lineRule="auto"/>
        <w:rPr>
          <w:rFonts w:ascii="Times New Roman" w:eastAsia="Calibri" w:hAnsi="Times New Roman"/>
          <w:b/>
          <w:bCs/>
          <w:sz w:val="24"/>
          <w:szCs w:val="24"/>
          <w:lang w:val="en-GB"/>
        </w:rPr>
      </w:pPr>
      <w:r w:rsidRPr="007B5742">
        <w:rPr>
          <w:rFonts w:ascii="Times New Roman" w:eastAsia="Calibri" w:hAnsi="Times New Roman"/>
          <w:b/>
          <w:bCs/>
          <w:sz w:val="24"/>
          <w:szCs w:val="24"/>
        </w:rPr>
        <w:lastRenderedPageBreak/>
        <w:t>Naziv projekta</w:t>
      </w:r>
      <w:r w:rsidRPr="007B5742">
        <w:rPr>
          <w:rFonts w:ascii="Times New Roman" w:eastAsia="Calibri" w:hAnsi="Times New Roman"/>
          <w:sz w:val="24"/>
          <w:szCs w:val="24"/>
        </w:rPr>
        <w:t xml:space="preserve">: </w:t>
      </w:r>
      <w:r w:rsidRPr="007B5742">
        <w:rPr>
          <w:rFonts w:ascii="Times New Roman" w:eastAsia="Calibri" w:hAnsi="Times New Roman"/>
          <w:b/>
          <w:bCs/>
          <w:sz w:val="24"/>
          <w:szCs w:val="24"/>
          <w:lang w:val="en-GB"/>
        </w:rPr>
        <w:t>CAPONEU - The Cartography of Political Novel in Europe</w:t>
      </w:r>
    </w:p>
    <w:p w14:paraId="761CF0A7" w14:textId="77777777" w:rsidR="00CB5688" w:rsidRPr="007B5742" w:rsidRDefault="00CB5688" w:rsidP="007B5742">
      <w:pPr>
        <w:spacing w:after="160" w:line="256" w:lineRule="auto"/>
        <w:rPr>
          <w:rFonts w:ascii="Times New Roman" w:eastAsia="Calibri" w:hAnsi="Times New Roman"/>
          <w:b/>
          <w:bCs/>
          <w:sz w:val="24"/>
          <w:szCs w:val="24"/>
        </w:rPr>
      </w:pPr>
    </w:p>
    <w:p w14:paraId="54E14036"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Projekt istražuje kako se politički roman, kao specifičan književni žanr, u različitim nacionalnim i kulturnim kontekstima nosi s političkim pitanjima te tako oblikuje percepciju lokalne i globalne politike. Na tragu povećanog interesa humanističke struke za političke učinke književnosti, politički će se roman motriti kao važan dio europskog kulturnog naslijeđa, ali i kao moćan alat za građanski odgoj i obrazovanje mladih, rad u lokalnoj zajednici te zagovaranje europskih vrijednosti. </w:t>
      </w:r>
    </w:p>
    <w:p w14:paraId="60692BC3"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Koordinator je projekta istraživački tim s Filozofskog fakulteta u Zagrebu. Uz zagrebačkog koordinatora u provedbi 10 radnih paketa sudjeluju istraživači sa sveučilišta u Cambridgeu, Brightonu, Poznanju, Nikoziji i Zadru, kolege iz istraživačkog centra Geisteswissenschafliche Zentren u Berlinu, think tanka Autonomy iz Londona te dvije nevladine organizacije iz Zagreba (Institut za političku ekologiju i Booksa/Kulturtreger). </w:t>
      </w:r>
    </w:p>
    <w:p w14:paraId="3DC0B101"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Svrha i cilj projekta:</w:t>
      </w:r>
    </w:p>
    <w:p w14:paraId="2453530C"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1. Kako politički roman, kao specična književna vrsta, u različitim nacionalnim i kulturnim kontekstima utječe na percepciju i razumijevanje lokalne i globalne politike, ljudskih vrijednosti, normi, tradicija, uvjerenja i mentaliteta</w:t>
      </w:r>
    </w:p>
    <w:p w14:paraId="2BA5CB7A"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2. Kako se politički roman može koristiti kao sredstvo doživljavanja, propitivanja, ali i promicanja i zagovaranja europske lokalne, ali i globalne politike </w:t>
      </w:r>
    </w:p>
    <w:p w14:paraId="127BD22D"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 </w:t>
      </w:r>
    </w:p>
    <w:p w14:paraId="333ACD6F" w14:textId="77777777" w:rsid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DIAMAS - Developing Institutional open Access publishing Models to Advance Scholarly communication</w:t>
      </w:r>
    </w:p>
    <w:p w14:paraId="429D8ADE" w14:textId="77777777" w:rsidR="00CB5688" w:rsidRPr="007B5742" w:rsidRDefault="00CB5688" w:rsidP="007B5742">
      <w:pPr>
        <w:spacing w:after="160" w:line="256" w:lineRule="auto"/>
        <w:jc w:val="both"/>
        <w:rPr>
          <w:rFonts w:ascii="Times New Roman" w:eastAsia="Calibri" w:hAnsi="Times New Roman"/>
          <w:b/>
          <w:bCs/>
          <w:sz w:val="24"/>
          <w:szCs w:val="24"/>
        </w:rPr>
      </w:pPr>
    </w:p>
    <w:p w14:paraId="71E7E0EE"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DIAMAS brings together the major public service scholarly organisations in Europe, and the necessary expertise to develop a common set of European standards for institutional publishing across all disciplines, as well as the authority and the network to make sure that they are considered and adopted by all member organisations</w:t>
      </w:r>
    </w:p>
    <w:p w14:paraId="67AD00D8"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Svrha i cilj projekta: The overall objective of DIAMAS is to provide researchers and readers with a viable, future-fit, and sustainable scholarly communication ecosystem, capable of implementing Open Access as a standard publication practice across the ERA, thus increasing substantially the capacity of institutions to provide innovative, valid, reliable and accessible publishing services, taking into account the specific needs of the different scientific communities across the diversity of disciplines, countries and languages.</w:t>
      </w:r>
    </w:p>
    <w:p w14:paraId="73065E5E" w14:textId="77777777" w:rsidR="007B5742" w:rsidRPr="007B5742" w:rsidRDefault="007B5742" w:rsidP="007B5742">
      <w:pPr>
        <w:spacing w:after="160" w:line="256" w:lineRule="auto"/>
        <w:jc w:val="both"/>
        <w:rPr>
          <w:rFonts w:ascii="Times New Roman" w:eastAsia="Calibri" w:hAnsi="Times New Roman"/>
          <w:sz w:val="24"/>
          <w:szCs w:val="24"/>
        </w:rPr>
      </w:pPr>
    </w:p>
    <w:p w14:paraId="565F3EAC" w14:textId="77777777" w:rsidR="007B5742" w:rsidRDefault="007B5742" w:rsidP="007B5742">
      <w:pPr>
        <w:spacing w:after="160" w:line="256" w:lineRule="auto"/>
        <w:jc w:val="both"/>
        <w:rPr>
          <w:rFonts w:ascii="Times New Roman" w:eastAsia="Calibri" w:hAnsi="Times New Roman"/>
          <w:b/>
          <w:bCs/>
          <w:sz w:val="24"/>
          <w:szCs w:val="24"/>
          <w:lang w:val="en-US"/>
        </w:rPr>
      </w:pPr>
      <w:r w:rsidRPr="007B5742">
        <w:rPr>
          <w:rFonts w:ascii="Times New Roman" w:eastAsia="Calibri" w:hAnsi="Times New Roman"/>
          <w:b/>
          <w:bCs/>
          <w:sz w:val="24"/>
          <w:szCs w:val="24"/>
        </w:rPr>
        <w:t>Naziv projekta</w:t>
      </w:r>
      <w:r w:rsidRPr="007B5742">
        <w:rPr>
          <w:rFonts w:ascii="Times New Roman" w:eastAsia="Calibri" w:hAnsi="Times New Roman"/>
          <w:sz w:val="24"/>
          <w:szCs w:val="24"/>
        </w:rPr>
        <w:t xml:space="preserve">: </w:t>
      </w:r>
      <w:r w:rsidRPr="007B5742">
        <w:rPr>
          <w:rFonts w:ascii="Times New Roman" w:eastAsia="Calibri" w:hAnsi="Times New Roman"/>
          <w:b/>
          <w:bCs/>
          <w:sz w:val="24"/>
          <w:szCs w:val="24"/>
          <w:lang w:val="en-US"/>
        </w:rPr>
        <w:t>e-SL4EU – e-Service Learning for more digital and inclusive EU Higher Education systems</w:t>
      </w:r>
    </w:p>
    <w:p w14:paraId="66A8646A" w14:textId="77777777" w:rsidR="00CB5688" w:rsidRPr="007B5742" w:rsidRDefault="00CB5688" w:rsidP="007B5742">
      <w:pPr>
        <w:spacing w:after="160" w:line="256" w:lineRule="auto"/>
        <w:jc w:val="both"/>
        <w:rPr>
          <w:rFonts w:ascii="Times New Roman" w:eastAsia="Calibri" w:hAnsi="Times New Roman"/>
          <w:sz w:val="24"/>
          <w:szCs w:val="24"/>
        </w:rPr>
      </w:pPr>
    </w:p>
    <w:p w14:paraId="1EF43683"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Projekt ima za cilj razviti treću misiju sveučilišta kroz njihov angažman u zajednici. Projekt uključuje izradu skupa alata i specifičnih znanja namijenjenih predavačima/profesorima na visokim učilištima i studentima s ciljem promicanja promjene tradicionalnog asistivnog modela društveno korisnog učenja u horizontalni model solidarnosti te distribucije znanja o metodologijama e-društveno korisnog učenja.</w:t>
      </w:r>
    </w:p>
    <w:p w14:paraId="19DBF3E4"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lastRenderedPageBreak/>
        <w:t xml:space="preserve">Ciljevi </w:t>
      </w:r>
      <w:r w:rsidRPr="007B5742">
        <w:rPr>
          <w:rFonts w:ascii="Times New Roman" w:eastAsia="Calibri" w:hAnsi="Times New Roman"/>
          <w:b/>
          <w:bCs/>
          <w:sz w:val="24"/>
          <w:szCs w:val="24"/>
        </w:rPr>
        <w:t>e-SL4EU</w:t>
      </w:r>
      <w:r w:rsidRPr="007B5742">
        <w:rPr>
          <w:rFonts w:ascii="Times New Roman" w:eastAsia="Calibri" w:hAnsi="Times New Roman"/>
          <w:sz w:val="24"/>
          <w:szCs w:val="24"/>
        </w:rPr>
        <w:t xml:space="preserve"> projekta su:</w:t>
      </w:r>
    </w:p>
    <w:p w14:paraId="2628436D"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definirati principe dizajna i elemente kvalitete za izgradnju kolegija e-društveno korisnog učenja za sveučilišne nastavnike koji žele sa svojim studentima raditi na projektima e-društveno korisnog učenja,</w:t>
      </w:r>
    </w:p>
    <w:p w14:paraId="71AF7F04"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razvoj materijala za obuku sveučilišnih nastavnika koji su zainteresirani za uključivanje e-društveno korisnog učenja u svoj kurikul,</w:t>
      </w:r>
    </w:p>
    <w:p w14:paraId="74A8B529"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pripremiti metodologije podučavanja za pomoć studentima u provođenju projekata e-društveno korisnog učenja koje su osmislili,</w:t>
      </w:r>
    </w:p>
    <w:p w14:paraId="073AD7B7"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razviti evaluacijsku metodologiju za procjenu ishoda učenja usmjerenu na podršku sveučilišnim nastavnicima u prepoznavanju i potvrđivanju studentskih vještina razvijenih tijekom izvođenja projekata e-društveno korisnog učenja</w:t>
      </w:r>
    </w:p>
    <w:p w14:paraId="777237A8"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razviti evaluacijsku metodologiju i materijale za procjenu društvenog utjecaja projekata koja će kvantificirati društveni utjecaj stvoren zahvaljujući studentskim e-DKU projektima</w:t>
      </w:r>
    </w:p>
    <w:p w14:paraId="73CE205D" w14:textId="77777777" w:rsidR="007B5742" w:rsidRPr="007B5742" w:rsidRDefault="007B5742" w:rsidP="007B5742">
      <w:pPr>
        <w:spacing w:after="160" w:line="256" w:lineRule="auto"/>
        <w:jc w:val="both"/>
        <w:rPr>
          <w:rFonts w:ascii="Times New Roman" w:eastAsia="Calibri" w:hAnsi="Times New Roman"/>
          <w:sz w:val="24"/>
          <w:szCs w:val="24"/>
        </w:rPr>
      </w:pPr>
    </w:p>
    <w:p w14:paraId="45BC8533" w14:textId="77777777" w:rsid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SLIDE (Service-Learning as a pedagogy to promote Inclusion, diversity, and Digital Empowerment)</w:t>
      </w:r>
    </w:p>
    <w:p w14:paraId="450923A0" w14:textId="77777777" w:rsidR="00CB5688" w:rsidRPr="007B5742" w:rsidRDefault="00CB5688" w:rsidP="007B5742">
      <w:pPr>
        <w:spacing w:after="160" w:line="256" w:lineRule="auto"/>
        <w:jc w:val="both"/>
        <w:rPr>
          <w:rFonts w:ascii="Times New Roman" w:eastAsia="Calibri" w:hAnsi="Times New Roman"/>
          <w:b/>
          <w:bCs/>
          <w:sz w:val="24"/>
          <w:szCs w:val="24"/>
        </w:rPr>
      </w:pPr>
    </w:p>
    <w:p w14:paraId="6C4EC147"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Projekt SLIDE isprepliće pedagogiju društveno korisnog učenja (SL) s digitalnim osnaživanjem (DE) u cilju promicanja inkluzije (I). SLIDE okuplja studente i profesore s raznih europskih sveučilišta kako bi se oslonili na postojeće prakse, razmijenili znanje i razvili najbolje prakse u zajednici i sa zajednicom, pri čemu svi postaju resursi za podučavanje i partneri. Svrha društveno korisnog učenja je usaditi osjećaj angažmana i odgovornosti kod studenata te ih motivirati na pozitivne društvene promjene, dok je svrha digitalnog osnaživanja učiniti pojedinca sposobnim za život s digitalnom tehnologijom, postavljajući tog pojedinca u središte podučavanja. U praksi, priroda SL i DE prilično je složena i podložna mnogim tumačenjima. Stoga ovaj projekt odgovara rastućoj potrebi za promicanjem međusobno povezanih sustava visokog obrazovanja, poticanjem inovativnih praksi učenja i poučavanja, digitalnog osnaživanja, inkluzije i raznolikosti te promicanjem društvenog poduzetništva.</w:t>
      </w:r>
    </w:p>
    <w:p w14:paraId="2459B323"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Ciljevi SLIDE projekta su:</w:t>
      </w:r>
    </w:p>
    <w:p w14:paraId="203A0063"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kolektivno razumjeti i promovirati društveno korisno učenje (DKU) kao pedagoški pristup koji ugrađuje i razvija građanski angažman u visokom obrazovanju i široj zajednici u Europi;</w:t>
      </w:r>
    </w:p>
    <w:p w14:paraId="6C2D920E"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opremiti studente digitalnim sposobnostima i vještinama potrebnim za upotrebu tehnologije na kreativne, kritične, kompetentne i inkluzivne načine (s posebnom pažnjom na promicanju rodne ravnopravnosti i digitalnog osnaživanja, rješavanju razlika u pristupu i upotrebi digitalnih izvora učenja kod studenata s invaliditetom i / ili poteškoćama u učenju, studenata migrantskog porijekla, nadarenih, onih u ruralnim sredinama, tj. kod nedovoljno zastupljenih skupina na koje DKU obično pozitivno utječe;</w:t>
      </w:r>
    </w:p>
    <w:p w14:paraId="2B4916DA"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povećati kapacitet i spremnost nastavnika na visokim učilištima za učinkovit prelazak na digitalno obrazovanje, poticanje svrhovite upotrebe digitalnih tehnologija za poučavanje, učenje, ocjenjivanje i angažman, kao i razvoj digitalne pedagogije i stručnosti u korištenju digitalnih alata, uključujući pomoćne tehnologije te stvaranje i inovativno korištenje digitalnih obrazovnih sadržaja;</w:t>
      </w:r>
    </w:p>
    <w:p w14:paraId="2DFE7519"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lastRenderedPageBreak/>
        <w:t>• stimulirati razvoj digitalnih vještina i kompetencija studenata kroz DKU aktivnosti koje se bave ljudskim, socijalnim i ekološkim potrebama iz perspektive socijalne pravde, integrirajući rad u zajednici s kurikulumom kako bi obogatili učenje na bilo kojoj sveučilišnoj razini, shvatili građansku odgovornost, i ojačali zajednice djelovanjem i kritičkim promišljanjem;</w:t>
      </w:r>
    </w:p>
    <w:p w14:paraId="15DF1A00"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stvoriti paneuropsko središte koje će dati značajan doprinos širenju znanja o DKU u Europi i omogućiti kulturu promocije i javne artikulacije partnerstva sveučilišta i zajednice kroz DKU.</w:t>
      </w:r>
    </w:p>
    <w:p w14:paraId="2AF52447" w14:textId="77777777" w:rsidR="007B5742" w:rsidRPr="007B5742" w:rsidRDefault="007B5742" w:rsidP="007B5742">
      <w:pPr>
        <w:spacing w:after="160" w:line="256" w:lineRule="auto"/>
        <w:jc w:val="both"/>
        <w:rPr>
          <w:rFonts w:ascii="Times New Roman" w:eastAsia="Calibri" w:hAnsi="Times New Roman"/>
          <w:sz w:val="24"/>
          <w:szCs w:val="24"/>
        </w:rPr>
      </w:pPr>
    </w:p>
    <w:p w14:paraId="197D8D10" w14:textId="77777777" w:rsid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Research into representations of intercultural contacts in Czech travelogue texts from the Mediterranean up to 1918, using digital humanities</w:t>
      </w:r>
    </w:p>
    <w:p w14:paraId="01ADF777" w14:textId="77777777" w:rsidR="00CB5688" w:rsidRPr="007B5742" w:rsidRDefault="00CB5688" w:rsidP="007B5742">
      <w:pPr>
        <w:spacing w:after="160" w:line="256" w:lineRule="auto"/>
        <w:jc w:val="both"/>
        <w:rPr>
          <w:rFonts w:ascii="Times New Roman" w:eastAsia="Calibri" w:hAnsi="Times New Roman"/>
          <w:b/>
          <w:bCs/>
          <w:sz w:val="24"/>
          <w:szCs w:val="24"/>
        </w:rPr>
      </w:pPr>
    </w:p>
    <w:p w14:paraId="00996D6B"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Projekt podrazumijeva prikupljanje i istraživanje reprezentacije interkulturnih kontakata na prostoru Mediterana u češki pisanim tekstovima putopisne prirode sve do 1918. godine, kao i obrada istih pomoću alata digital humanities: digitalno mapiranje, digitalizacija prikupljenih književnih tekstova i obrada podataka. </w:t>
      </w:r>
    </w:p>
    <w:p w14:paraId="190743BE"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Svrha i cilj projekta: Glavni rezultat projekta bit će višetematski atlas dostupan online, povezan preko tema koje se fokusiraju na međukulturalni kontakt s digitalnom knjižnicom koja se sastoji od odabranog korpusa putopisa. Ostali ishodi koristit će stvoreni digitalni humanistički alat, sposoban za obradu velike količine podataka: akademske studije, specijalizirane karte, izvješća i druge diseminacijske aktivnosti bitne za predstavljanje upotrebljivosti alata u obrazovanju i istraživanju.</w:t>
      </w:r>
    </w:p>
    <w:p w14:paraId="46BE8766" w14:textId="77777777" w:rsidR="007B5742" w:rsidRPr="007B5742" w:rsidRDefault="007B5742" w:rsidP="007B5742">
      <w:pPr>
        <w:spacing w:after="160" w:line="256" w:lineRule="auto"/>
        <w:jc w:val="both"/>
        <w:rPr>
          <w:rFonts w:ascii="Times New Roman" w:eastAsia="Calibri" w:hAnsi="Times New Roman"/>
          <w:sz w:val="24"/>
          <w:szCs w:val="24"/>
        </w:rPr>
      </w:pPr>
    </w:p>
    <w:p w14:paraId="165D1BF4" w14:textId="77777777" w:rsid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Rhetoric for Innovative Education</w:t>
      </w:r>
    </w:p>
    <w:p w14:paraId="043F4C84" w14:textId="77777777" w:rsidR="00CB5688" w:rsidRPr="007B5742" w:rsidRDefault="00CB5688" w:rsidP="007B5742">
      <w:pPr>
        <w:spacing w:after="160" w:line="256" w:lineRule="auto"/>
        <w:jc w:val="both"/>
        <w:rPr>
          <w:rFonts w:ascii="Times New Roman" w:eastAsia="Calibri" w:hAnsi="Times New Roman"/>
          <w:b/>
          <w:bCs/>
          <w:sz w:val="24"/>
          <w:szCs w:val="24"/>
        </w:rPr>
      </w:pPr>
    </w:p>
    <w:p w14:paraId="0D060ACE"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RHEFINE ima za cilj reformirati akademsku nastavu retorike. Aktivnosti projekta usmjerene su prema sveučilišnim studentima, doktorandima, akademskim nastavnicima i istraživačima, ali se također mogu proširiti na diplomante, nastavnike i učenike srednjih škola te radnike u nevladinim organizacijama. Akcije RHEFINE-a usredotočene su na tri područja:</w:t>
      </w:r>
    </w:p>
    <w:p w14:paraId="3BD925ED"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Pružanje boljeg okvira za podučavanje i učenje retorike. To uključuje nove kurikulume prilagođene potrebama studenata i tržišta rada; uvođenje novih metoda poučavanja; pružanje modernih i ažuriranih udžbenika i materijala; razvoj fleksibilnih oblika poučavanja i učenja (online i kombinirano).</w:t>
      </w:r>
    </w:p>
    <w:p w14:paraId="1490CB91"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Rješavanje jaza u vještinama i unaprjeđenje kompetencija studenata. To uključuje razvoj učenja temeljenog na istraživanju i stvaranje prilika za razvijanje vještina kao što su analiza i rješavanje problema, timski rad, znanstvena komunikacija, upravljanje konfliktima. Važne kompetencije uključuju i empatiju i "retoričku osjetljivost".</w:t>
      </w:r>
    </w:p>
    <w:p w14:paraId="11DE44AF"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Unaprjeđenje kompetencija akademskih nastavnika. To uključuje stvaranje prostora za raspravu, predstavljanje novih rješenja i dijeljenje iskustava; obuku u vještinama otvorene znanosti, upravljanju konfliktima, pregovaranju; dijeljenje razmišljanja o novim metodama poučavanja.</w:t>
      </w:r>
    </w:p>
    <w:p w14:paraId="16FD9A3C"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Projekt je rezultirao sa šest intelektualnih outputa - jednim kurikulomom, jednim e-learning tečajem, jednom aktivnošću sa studentima, jednim internetskim resursom za retoriku i tri knjige. </w:t>
      </w:r>
    </w:p>
    <w:p w14:paraId="1A12AD2A" w14:textId="77777777" w:rsidR="007B5742" w:rsidRPr="007B5742" w:rsidRDefault="007B5742" w:rsidP="007B5742">
      <w:pPr>
        <w:spacing w:after="160" w:line="256" w:lineRule="auto"/>
        <w:jc w:val="both"/>
        <w:rPr>
          <w:rFonts w:ascii="Times New Roman" w:eastAsia="Calibri" w:hAnsi="Times New Roman"/>
          <w:sz w:val="24"/>
          <w:szCs w:val="24"/>
        </w:rPr>
      </w:pPr>
    </w:p>
    <w:p w14:paraId="5989F507" w14:textId="77777777" w:rsidR="007B5742" w:rsidRDefault="007B5742" w:rsidP="007B5742">
      <w:pPr>
        <w:spacing w:after="160" w:line="256" w:lineRule="auto"/>
        <w:jc w:val="both"/>
        <w:rPr>
          <w:rFonts w:ascii="Times New Roman" w:eastAsia="Calibri" w:hAnsi="Times New Roman"/>
          <w:b/>
          <w:bCs/>
          <w:sz w:val="24"/>
          <w:szCs w:val="24"/>
          <w:lang w:val="en-GB"/>
        </w:rPr>
      </w:pPr>
      <w:r w:rsidRPr="007B5742">
        <w:rPr>
          <w:rFonts w:ascii="Times New Roman" w:eastAsia="Calibri" w:hAnsi="Times New Roman"/>
          <w:b/>
          <w:bCs/>
          <w:sz w:val="24"/>
          <w:szCs w:val="24"/>
        </w:rPr>
        <w:lastRenderedPageBreak/>
        <w:t>Naziv projekta: How Ordinary People Make Sense of Anti-Gender Messages</w:t>
      </w:r>
      <w:r w:rsidRPr="007B5742">
        <w:rPr>
          <w:rFonts w:ascii="Times New Roman" w:eastAsia="Calibri" w:hAnsi="Times New Roman"/>
          <w:b/>
          <w:bCs/>
          <w:sz w:val="24"/>
          <w:szCs w:val="24"/>
          <w:lang w:val="en-GB"/>
        </w:rPr>
        <w:t xml:space="preserve"> (Sense </w:t>
      </w:r>
      <w:proofErr w:type="spellStart"/>
      <w:r w:rsidRPr="007B5742">
        <w:rPr>
          <w:rFonts w:ascii="Times New Roman" w:eastAsia="Calibri" w:hAnsi="Times New Roman"/>
          <w:b/>
          <w:bCs/>
          <w:sz w:val="24"/>
          <w:szCs w:val="24"/>
          <w:lang w:val="en-GB"/>
        </w:rPr>
        <w:t>AGENDa</w:t>
      </w:r>
      <w:proofErr w:type="spellEnd"/>
      <w:r w:rsidRPr="007B5742">
        <w:rPr>
          <w:rFonts w:ascii="Times New Roman" w:eastAsia="Calibri" w:hAnsi="Times New Roman"/>
          <w:b/>
          <w:bCs/>
          <w:sz w:val="24"/>
          <w:szCs w:val="24"/>
          <w:lang w:val="en-GB"/>
        </w:rPr>
        <w:t>)</w:t>
      </w:r>
    </w:p>
    <w:p w14:paraId="0A70A9E1" w14:textId="77777777" w:rsidR="00CB5688" w:rsidRPr="007B5742" w:rsidRDefault="00CB5688" w:rsidP="007B5742">
      <w:pPr>
        <w:spacing w:after="160" w:line="256" w:lineRule="auto"/>
        <w:jc w:val="both"/>
        <w:rPr>
          <w:rFonts w:ascii="Times New Roman" w:eastAsia="Calibri" w:hAnsi="Times New Roman"/>
          <w:b/>
          <w:bCs/>
          <w:sz w:val="24"/>
          <w:szCs w:val="24"/>
        </w:rPr>
      </w:pPr>
    </w:p>
    <w:p w14:paraId="1C8A0668"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This project explores why ordinary people continue to oppose and, in some European democracies, increasingly push back against gender and sexual equality. In face of anti-gender mobilizations, i.e. the campaigns against gender and LGBT rights that have been growing in strength and influence since the mid-2000s, we urgently need to In examining these questions, this study will adopt a cross-cultural qualitative research design, comparing the strategically selected cases of Croatia and Belgium (Flanders). By a unique combination of democratic forums, pre-acquainted focus groups and individual interviews, this study aims to understand how ordinary people evaluate publicly available ideas about gender and sexuality; how the individuals' personal and social characteristics and identifications shape their evaluations at both the individual and collective level; and how are these gender and sexuality evaluations and interpretations situated into contexts with different climates of opinions and institutional-legal frameworks. Based on this, the study aims to build a theoretical model of cultural reception that connects individual and group perspectives and socio-cultural contexts. The project's insights will contribute to various disciplines studying the interactions of institutions, values and individual meanings in general, and the anti-gender mobilizations more specifically, ranging from sociology and political sciences to social movements, public opinion and gender and sexuality studies. The study's results are also intended to generate wider social impact by highlighting the concerns the policymakers and the stakeholders need more strongly address if they desire to open a constructive public dialogue with citizens struggling how to best make sense of difficult issues in an uncertain world.</w:t>
      </w:r>
    </w:p>
    <w:p w14:paraId="762476BB" w14:textId="77777777" w:rsidR="007B5742" w:rsidRPr="007B5742" w:rsidRDefault="007B5742" w:rsidP="007B5742">
      <w:pPr>
        <w:spacing w:after="160" w:line="256" w:lineRule="auto"/>
        <w:jc w:val="both"/>
        <w:rPr>
          <w:rFonts w:ascii="Times New Roman" w:eastAsia="Calibri" w:hAnsi="Times New Roman"/>
          <w:sz w:val="24"/>
          <w:szCs w:val="24"/>
        </w:rPr>
      </w:pPr>
    </w:p>
    <w:p w14:paraId="6FEBD18D" w14:textId="77777777" w:rsid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IPEDU - Introducing Intellectual Property Education for Lifelong Learning and the Knowledge Economy</w:t>
      </w:r>
    </w:p>
    <w:p w14:paraId="4BF348C6" w14:textId="77777777" w:rsidR="00CB5688" w:rsidRPr="007B5742" w:rsidRDefault="00CB5688" w:rsidP="007B5742">
      <w:pPr>
        <w:spacing w:after="160" w:line="256" w:lineRule="auto"/>
        <w:jc w:val="both"/>
        <w:rPr>
          <w:rFonts w:ascii="Times New Roman" w:eastAsia="Calibri" w:hAnsi="Times New Roman"/>
          <w:b/>
          <w:bCs/>
          <w:sz w:val="24"/>
          <w:szCs w:val="24"/>
        </w:rPr>
      </w:pPr>
    </w:p>
    <w:p w14:paraId="44D30489"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Obrazovanje u području intelektualnog vlasništva; specifično uvođenje sadržaja koji se odnose na intelektualno i industrijsko vlasništvo u visokoškolsko obrazovanje. </w:t>
      </w:r>
    </w:p>
    <w:p w14:paraId="6E61CE6A"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Svrha i cilj projekta: 1. unaprijediti obrazovanje u području intelektualnog vlasništva; 2. jačati suradnju između sveučilišta i poslovnog okruženja, 3. poticati razmjenu i su-kreiranje znanja u polju industrijskog vlasništva; 3. koreliranje kurikuluma u području industrijskog vlasništva s konkretnim potrebama tržišta rada; 4. umanjiti značajne razlike u kurikulimima industrijskog vlasništva na nacionalnoj i EU razini; 5. uvođenje obrazovanje u području industrijskog vlasništva na tehničkim fakultetima; 6. doprinijeti razvoju kompetencija knjižničara u području industrijskog vlasništva</w:t>
      </w:r>
    </w:p>
    <w:p w14:paraId="0FF3F3ED" w14:textId="77777777" w:rsidR="007B5742" w:rsidRPr="007B5742" w:rsidRDefault="007B5742" w:rsidP="007B5742">
      <w:pPr>
        <w:spacing w:after="160" w:line="256" w:lineRule="auto"/>
        <w:jc w:val="both"/>
        <w:rPr>
          <w:rFonts w:ascii="Times New Roman" w:eastAsia="Calibri" w:hAnsi="Times New Roman"/>
          <w:sz w:val="24"/>
          <w:szCs w:val="24"/>
        </w:rPr>
      </w:pPr>
    </w:p>
    <w:p w14:paraId="1CE1876B" w14:textId="77777777" w:rsid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"Civic engagement of cultural and historical heritage inurban and sub-urban environment – EU context, perspectives &amp; good practices"- CULTHERA</w:t>
      </w:r>
    </w:p>
    <w:p w14:paraId="404C8751" w14:textId="77777777" w:rsidR="00CB5688" w:rsidRPr="007B5742" w:rsidRDefault="00CB5688" w:rsidP="007B5742">
      <w:pPr>
        <w:spacing w:after="160" w:line="256" w:lineRule="auto"/>
        <w:jc w:val="both"/>
        <w:rPr>
          <w:rFonts w:ascii="Times New Roman" w:eastAsia="Calibri" w:hAnsi="Times New Roman"/>
          <w:b/>
          <w:bCs/>
          <w:sz w:val="24"/>
          <w:szCs w:val="24"/>
        </w:rPr>
      </w:pPr>
    </w:p>
    <w:p w14:paraId="1314CFD1"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Važnost očuvanja i socijalizacije kulturno-povijesne baštine (CHH) u urbanom i suburbanom prostoru okruženja teško da treba objašnjavati sveučilišnim profesorima i asistentima. Ali čini se da je njima malo potrebno više praktično orijentirana znanja, vještine i kompetencije kako bi se mogli uvjerljivije i kvalitetnije braniti potreba socijalizacije, očuvanja i eksponiranja ove baštine na adekvatan i ispravan način. Oni su ti koji shvaćaju najbolje je da je ključno poticati kulturni angažman, međukulturni dijalog, mobilizaciju i aktivno sudjelovanje svih članovima lokalnih </w:t>
      </w:r>
      <w:r w:rsidRPr="007B5742">
        <w:rPr>
          <w:rFonts w:ascii="Times New Roman" w:eastAsia="Calibri" w:hAnsi="Times New Roman"/>
          <w:sz w:val="24"/>
          <w:szCs w:val="24"/>
        </w:rPr>
        <w:lastRenderedPageBreak/>
        <w:t>zajednica (uključujući sveučilišta) za promicanje i održavanje CHH u regionalnoj, nacionalnoj i međunarodnoj razini. Kako i dalje postoji potreba za zaštitom nacionalnog kulturnog identiteta i njegove povijesti uz ne samo priznanje nacionalnu kulturu i povijest, ali i priznanje da je to naslijeđe također dio nasljeđa EU. Kao što je ono što stvara osjećaj pripadnosti našoj zajedničkoj europskoj obitelji.</w:t>
      </w:r>
    </w:p>
    <w:p w14:paraId="1FE442AC" w14:textId="77777777" w:rsidR="00CB5688" w:rsidRDefault="00CB5688" w:rsidP="007B5742">
      <w:pPr>
        <w:spacing w:after="160" w:line="256" w:lineRule="auto"/>
        <w:jc w:val="both"/>
        <w:rPr>
          <w:rFonts w:ascii="Times New Roman" w:eastAsia="Calibri" w:hAnsi="Times New Roman"/>
          <w:sz w:val="24"/>
          <w:szCs w:val="24"/>
        </w:rPr>
      </w:pPr>
    </w:p>
    <w:p w14:paraId="4DCD8466" w14:textId="6F08F39B" w:rsid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 xml:space="preserve">Naziv projekta: Reforming Foreign Languages in Academia in Montenegro </w:t>
      </w:r>
      <w:r w:rsidR="00CB5688">
        <w:rPr>
          <w:rFonts w:ascii="Times New Roman" w:eastAsia="Calibri" w:hAnsi="Times New Roman"/>
          <w:b/>
          <w:bCs/>
          <w:sz w:val="24"/>
          <w:szCs w:val="24"/>
        </w:rPr>
        <w:t>–</w:t>
      </w:r>
      <w:r w:rsidRPr="007B5742">
        <w:rPr>
          <w:rFonts w:ascii="Times New Roman" w:eastAsia="Calibri" w:hAnsi="Times New Roman"/>
          <w:b/>
          <w:bCs/>
          <w:sz w:val="24"/>
          <w:szCs w:val="24"/>
        </w:rPr>
        <w:t xml:space="preserve"> ReFLAME</w:t>
      </w:r>
    </w:p>
    <w:p w14:paraId="7ED94A95" w14:textId="77777777" w:rsidR="00CB5688" w:rsidRPr="007B5742" w:rsidRDefault="00CB5688" w:rsidP="007B5742">
      <w:pPr>
        <w:spacing w:after="160" w:line="256" w:lineRule="auto"/>
        <w:jc w:val="both"/>
        <w:rPr>
          <w:rFonts w:ascii="Times New Roman" w:eastAsia="Calibri" w:hAnsi="Times New Roman"/>
          <w:b/>
          <w:bCs/>
          <w:sz w:val="24"/>
          <w:szCs w:val="24"/>
        </w:rPr>
      </w:pPr>
    </w:p>
    <w:p w14:paraId="605D0F40"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Glavni cilj projekta je unapređenje znanja stranih jezika studenata na crnogorskim sveučilištima kako bi mogli ispuniti uvjete prema crnogorskim zakonima (C1 nivo znanja prema ZEROJ-u po završetku studija) te zahtjeve crnogorskih i međunarodnih tržišta rada. To će se postići kroz:</w:t>
      </w:r>
    </w:p>
    <w:p w14:paraId="6D1EEE0D"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1) usklađivanje silaba kolegija stranih jezika s potrebama tržišta i crnogorskim zakonima;</w:t>
      </w:r>
    </w:p>
    <w:p w14:paraId="569F66D3"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2) pisanje nastavnih materijala za strane jezike za specifične potrebe (prema potrebama crnogorskog tržišta) što će pripremiti studente za isto tržište;</w:t>
      </w:r>
    </w:p>
    <w:p w14:paraId="3C38A177"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3) nadogradnju metodike nastave, posebice na području ICT tehnologija što će se odraziti na znanje studenata crnogorskih sveučilišta, a dio nadogradnje će se posebno fokusirati na studente s oštećenjem vida te na jačanje međusobne suradnje nastavnika stranih jezika na crnogorskim sveučilištima;</w:t>
      </w:r>
    </w:p>
    <w:p w14:paraId="639732E3"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4) uvođenje testiranja postojeće razine znanja stranog jezika za studente i građanstvo kako bi samostalno mogli provjeriti svoj napredak i dobiti potrebne potvrde za mobilnost i zapošljavanje.</w:t>
      </w:r>
    </w:p>
    <w:p w14:paraId="3A881471"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Svrha projekta je unaprijediti poduku stranih jezika na crnogorskim sveučilištima. </w:t>
      </w:r>
    </w:p>
    <w:p w14:paraId="1185150F"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Ciljevi su: unapređenje metodologije poduke stranih jezika struke, razvoj materijala za poduku jezika struke za specifične odsjeke i studijske programe, modernizacija silabusa te pisanje i izdavanje udžbenika koji prate nove silabuse. </w:t>
      </w:r>
    </w:p>
    <w:p w14:paraId="3985AA67" w14:textId="77777777" w:rsidR="007B5742" w:rsidRPr="007B5742" w:rsidRDefault="007B5742" w:rsidP="007B5742">
      <w:pPr>
        <w:spacing w:after="160" w:line="256" w:lineRule="auto"/>
        <w:jc w:val="both"/>
        <w:rPr>
          <w:rFonts w:ascii="Times New Roman" w:eastAsia="Calibri" w:hAnsi="Times New Roman"/>
          <w:sz w:val="24"/>
          <w:szCs w:val="24"/>
        </w:rPr>
      </w:pPr>
    </w:p>
    <w:p w14:paraId="57E715F8" w14:textId="77777777" w:rsidR="007B5742" w:rsidRDefault="007B5742" w:rsidP="007B5742">
      <w:pPr>
        <w:spacing w:after="160" w:line="256" w:lineRule="auto"/>
        <w:jc w:val="both"/>
        <w:rPr>
          <w:rFonts w:ascii="Times New Roman" w:eastAsia="Calibri" w:hAnsi="Times New Roman"/>
          <w:sz w:val="24"/>
          <w:szCs w:val="24"/>
          <w:lang w:val="en-US"/>
        </w:rPr>
      </w:pPr>
      <w:proofErr w:type="spellStart"/>
      <w:r w:rsidRPr="007B5742">
        <w:rPr>
          <w:rFonts w:ascii="Times New Roman" w:eastAsia="Calibri" w:hAnsi="Times New Roman"/>
          <w:b/>
          <w:bCs/>
          <w:sz w:val="24"/>
          <w:szCs w:val="24"/>
          <w:lang w:val="en-US"/>
        </w:rPr>
        <w:t>Naziv</w:t>
      </w:r>
      <w:proofErr w:type="spellEnd"/>
      <w:r w:rsidRPr="007B5742">
        <w:rPr>
          <w:rFonts w:ascii="Times New Roman" w:eastAsia="Calibri" w:hAnsi="Times New Roman"/>
          <w:b/>
          <w:bCs/>
          <w:sz w:val="24"/>
          <w:szCs w:val="24"/>
          <w:lang w:val="en-US"/>
        </w:rPr>
        <w:t xml:space="preserve"> </w:t>
      </w:r>
      <w:proofErr w:type="spellStart"/>
      <w:r w:rsidRPr="007B5742">
        <w:rPr>
          <w:rFonts w:ascii="Times New Roman" w:eastAsia="Calibri" w:hAnsi="Times New Roman"/>
          <w:b/>
          <w:bCs/>
          <w:sz w:val="24"/>
          <w:szCs w:val="24"/>
          <w:lang w:val="en-US"/>
        </w:rPr>
        <w:t>projekta</w:t>
      </w:r>
      <w:proofErr w:type="spellEnd"/>
      <w:r w:rsidRPr="007B5742">
        <w:rPr>
          <w:rFonts w:ascii="Times New Roman" w:eastAsia="Calibri" w:hAnsi="Times New Roman"/>
          <w:b/>
          <w:bCs/>
          <w:sz w:val="24"/>
          <w:szCs w:val="24"/>
          <w:lang w:val="en-US"/>
        </w:rPr>
        <w:t xml:space="preserve">: </w:t>
      </w:r>
      <w:proofErr w:type="spellStart"/>
      <w:r w:rsidRPr="007B5742">
        <w:rPr>
          <w:rFonts w:ascii="Times New Roman" w:eastAsia="Calibri" w:hAnsi="Times New Roman"/>
          <w:b/>
          <w:bCs/>
          <w:sz w:val="24"/>
          <w:szCs w:val="24"/>
          <w:lang w:val="en-US"/>
        </w:rPr>
        <w:t>COhort</w:t>
      </w:r>
      <w:proofErr w:type="spellEnd"/>
      <w:r w:rsidRPr="007B5742">
        <w:rPr>
          <w:rFonts w:ascii="Times New Roman" w:eastAsia="Calibri" w:hAnsi="Times New Roman"/>
          <w:b/>
          <w:bCs/>
          <w:sz w:val="24"/>
          <w:szCs w:val="24"/>
          <w:lang w:val="en-US"/>
        </w:rPr>
        <w:t xml:space="preserve"> </w:t>
      </w:r>
      <w:proofErr w:type="spellStart"/>
      <w:r w:rsidRPr="007B5742">
        <w:rPr>
          <w:rFonts w:ascii="Times New Roman" w:eastAsia="Calibri" w:hAnsi="Times New Roman"/>
          <w:b/>
          <w:bCs/>
          <w:sz w:val="24"/>
          <w:szCs w:val="24"/>
          <w:lang w:val="en-US"/>
        </w:rPr>
        <w:t>cOmmunity</w:t>
      </w:r>
      <w:proofErr w:type="spellEnd"/>
      <w:r w:rsidRPr="007B5742">
        <w:rPr>
          <w:rFonts w:ascii="Times New Roman" w:eastAsia="Calibri" w:hAnsi="Times New Roman"/>
          <w:b/>
          <w:bCs/>
          <w:sz w:val="24"/>
          <w:szCs w:val="24"/>
          <w:lang w:val="en-US"/>
        </w:rPr>
        <w:t xml:space="preserve"> Research and Development Infrastructure Network for Access Throughout </w:t>
      </w:r>
      <w:r w:rsidRPr="007B5742">
        <w:rPr>
          <w:rFonts w:ascii="Times New Roman" w:eastAsia="Calibri" w:hAnsi="Times New Roman"/>
          <w:sz w:val="24"/>
          <w:szCs w:val="24"/>
          <w:lang w:val="en-US"/>
        </w:rPr>
        <w:t>(COORDINATE)</w:t>
      </w:r>
    </w:p>
    <w:p w14:paraId="6E2B1225" w14:textId="77777777" w:rsidR="00CB5688" w:rsidRPr="007B5742" w:rsidRDefault="00CB5688" w:rsidP="007B5742">
      <w:pPr>
        <w:spacing w:after="160" w:line="256" w:lineRule="auto"/>
        <w:jc w:val="both"/>
        <w:rPr>
          <w:rFonts w:ascii="Times New Roman" w:eastAsia="Calibri" w:hAnsi="Times New Roman"/>
          <w:b/>
          <w:bCs/>
          <w:sz w:val="24"/>
          <w:szCs w:val="24"/>
        </w:rPr>
      </w:pPr>
    </w:p>
    <w:p w14:paraId="5742C227"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COORDINATE je sljedeća faza GUIDE projekta financiranog iz programa Obzor 2020 kojim je utvrđeno da donositelji politika diljem Europe trenutno nemaju pristup dosljednim, usporedivim i kvalitetnim podacima o dobrobiti djece i mladih na temelju kojih bi mogli odlučivati. Projekt GUIDE će biti važan izvor podataka za razvijanje socijalnih politika usmjerenih prema djeci, mladima i obiteljima diljem Europe kroz dugi niz godina. Longitudinalno kohortno istraživanje koje će uključivati nacionalne reprezentativne uzorke novorođene djece i djece školske dobi već će u ranoj fazi prikupljanja podataka omogućiti usporedbe različitih dobnih kohorti. Podaci prikupljeni kroz idući period osigurat će praćenje razvoja djece i mladih te dati podlogu za vrednovanje različitih socijalnih intervencija i politika kako na nacionalnoj tako i na europskoj razini. </w:t>
      </w:r>
    </w:p>
    <w:p w14:paraId="371F440F" w14:textId="77777777" w:rsidR="007B5742" w:rsidRPr="007B5742" w:rsidRDefault="007B5742" w:rsidP="007B5742">
      <w:pPr>
        <w:spacing w:after="160" w:line="256" w:lineRule="auto"/>
        <w:jc w:val="both"/>
        <w:rPr>
          <w:rFonts w:ascii="Times New Roman" w:eastAsia="Calibri" w:hAnsi="Times New Roman"/>
          <w:sz w:val="24"/>
          <w:szCs w:val="24"/>
        </w:rPr>
      </w:pPr>
    </w:p>
    <w:p w14:paraId="4582D0E3" w14:textId="0E413DF7" w:rsid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 xml:space="preserve">Naziv projekta: </w:t>
      </w:r>
      <w:r w:rsidRPr="007B5742">
        <w:rPr>
          <w:rFonts w:ascii="Times New Roman" w:eastAsia="Calibri" w:hAnsi="Times New Roman"/>
          <w:b/>
          <w:bCs/>
          <w:sz w:val="24"/>
          <w:szCs w:val="24"/>
          <w:lang w:val="en-GB"/>
        </w:rPr>
        <w:t>On-Wheels summer school for the socio-cultural evolution of</w:t>
      </w:r>
      <w:r w:rsidRPr="007B5742">
        <w:rPr>
          <w:rFonts w:ascii="Times New Roman" w:eastAsia="Calibri" w:hAnsi="Times New Roman"/>
          <w:b/>
          <w:bCs/>
          <w:sz w:val="24"/>
          <w:szCs w:val="24"/>
        </w:rPr>
        <w:t xml:space="preserve"> T</w:t>
      </w:r>
      <w:r w:rsidRPr="007B5742">
        <w:rPr>
          <w:rFonts w:ascii="Times New Roman" w:eastAsia="Calibri" w:hAnsi="Times New Roman"/>
          <w:b/>
          <w:bCs/>
          <w:sz w:val="24"/>
          <w:szCs w:val="24"/>
          <w:lang w:val="en-GB"/>
        </w:rPr>
        <w:t xml:space="preserve">he </w:t>
      </w:r>
      <w:proofErr w:type="spellStart"/>
      <w:r w:rsidRPr="007B5742">
        <w:rPr>
          <w:rFonts w:ascii="Times New Roman" w:eastAsia="Calibri" w:hAnsi="Times New Roman"/>
          <w:b/>
          <w:bCs/>
          <w:sz w:val="24"/>
          <w:szCs w:val="24"/>
          <w:lang w:val="en-GB"/>
        </w:rPr>
        <w:t>EUropean</w:t>
      </w:r>
      <w:proofErr w:type="spellEnd"/>
      <w:r w:rsidRPr="007B5742">
        <w:rPr>
          <w:rFonts w:ascii="Times New Roman" w:eastAsia="Calibri" w:hAnsi="Times New Roman"/>
          <w:b/>
          <w:bCs/>
          <w:sz w:val="24"/>
          <w:szCs w:val="24"/>
          <w:lang w:val="en-GB"/>
        </w:rPr>
        <w:t xml:space="preserve"> Values, Principles, Identity and Awareness</w:t>
      </w:r>
      <w:r w:rsidRPr="007B5742">
        <w:rPr>
          <w:rFonts w:ascii="Times New Roman" w:eastAsia="Calibri" w:hAnsi="Times New Roman"/>
          <w:b/>
          <w:bCs/>
          <w:sz w:val="24"/>
          <w:szCs w:val="24"/>
        </w:rPr>
        <w:t xml:space="preserve"> </w:t>
      </w:r>
      <w:r w:rsidR="00CB5688">
        <w:rPr>
          <w:rFonts w:ascii="Times New Roman" w:eastAsia="Calibri" w:hAnsi="Times New Roman"/>
          <w:b/>
          <w:bCs/>
          <w:sz w:val="24"/>
          <w:szCs w:val="24"/>
        </w:rPr>
        <w:t>–</w:t>
      </w:r>
      <w:r w:rsidRPr="007B5742">
        <w:rPr>
          <w:rFonts w:ascii="Times New Roman" w:eastAsia="Calibri" w:hAnsi="Times New Roman"/>
          <w:b/>
          <w:bCs/>
          <w:sz w:val="24"/>
          <w:szCs w:val="24"/>
        </w:rPr>
        <w:t xml:space="preserve"> EUROPIA</w:t>
      </w:r>
    </w:p>
    <w:p w14:paraId="69BF2235" w14:textId="77777777" w:rsidR="00CB5688" w:rsidRPr="007B5742" w:rsidRDefault="00CB5688" w:rsidP="007B5742">
      <w:pPr>
        <w:spacing w:after="160" w:line="256" w:lineRule="auto"/>
        <w:jc w:val="both"/>
        <w:rPr>
          <w:rFonts w:ascii="Times New Roman" w:eastAsia="Calibri" w:hAnsi="Times New Roman"/>
          <w:b/>
          <w:bCs/>
          <w:sz w:val="24"/>
          <w:szCs w:val="24"/>
        </w:rPr>
      </w:pPr>
    </w:p>
    <w:p w14:paraId="46945B59"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lang w:val="en-GB"/>
        </w:rPr>
        <w:t>Based on that EUROPIA project will develop an innovative, holistic, flexible &amp; interactive approach for training of university</w:t>
      </w:r>
      <w:r w:rsidRPr="007B5742">
        <w:rPr>
          <w:rFonts w:ascii="Times New Roman" w:eastAsia="Calibri" w:hAnsi="Times New Roman"/>
          <w:sz w:val="24"/>
          <w:szCs w:val="24"/>
        </w:rPr>
        <w:t xml:space="preserve"> </w:t>
      </w:r>
      <w:r w:rsidRPr="007B5742">
        <w:rPr>
          <w:rFonts w:ascii="Times New Roman" w:eastAsia="Calibri" w:hAnsi="Times New Roman"/>
          <w:sz w:val="24"/>
          <w:szCs w:val="24"/>
          <w:lang w:val="en-GB"/>
        </w:rPr>
        <w:t>academia (UA) to conduct the educational process in European history, law &amp; politics with targeted focus on the shared</w:t>
      </w:r>
    </w:p>
    <w:p w14:paraId="448138BA"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lang w:val="en-GB"/>
        </w:rPr>
        <w:t>European values, principles, identity &amp; awareness. Focused on their evolution &amp; integration &amp; accounting for the influence of</w:t>
      </w:r>
    </w:p>
    <w:p w14:paraId="2C6A17C8"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lang w:val="en-GB"/>
        </w:rPr>
        <w:t>CoVid-19 crises &amp; the roaring military conflict in Ukraine, EUROPIA will develop:</w:t>
      </w:r>
    </w:p>
    <w:p w14:paraId="7D1F0FD2"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lang w:val="en-GB"/>
        </w:rPr>
        <w:t>1. Modular course following trans-disciplinary flexible learning pathway focused on providing comprehensive training in</w:t>
      </w:r>
      <w:r w:rsidRPr="007B5742">
        <w:rPr>
          <w:rFonts w:ascii="Times New Roman" w:eastAsia="Calibri" w:hAnsi="Times New Roman"/>
          <w:sz w:val="24"/>
          <w:szCs w:val="24"/>
        </w:rPr>
        <w:t xml:space="preserve"> </w:t>
      </w:r>
      <w:r w:rsidRPr="007B5742">
        <w:rPr>
          <w:rFonts w:ascii="Times New Roman" w:eastAsia="Calibri" w:hAnsi="Times New Roman"/>
          <w:sz w:val="24"/>
          <w:szCs w:val="24"/>
          <w:lang w:val="en-GB"/>
        </w:rPr>
        <w:t>European values of solidarity, tolerance, integration &amp; cooperation with online assessment.</w:t>
      </w:r>
    </w:p>
    <w:p w14:paraId="2BAEE606"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lang w:val="en-GB"/>
        </w:rPr>
        <w:t>2. Manual for the university academia for the personal &amp; professional competencies needed to work, teach &amp; study sociocultural</w:t>
      </w:r>
      <w:r w:rsidRPr="007B5742">
        <w:rPr>
          <w:rFonts w:ascii="Times New Roman" w:eastAsia="Calibri" w:hAnsi="Times New Roman"/>
          <w:sz w:val="24"/>
          <w:szCs w:val="24"/>
        </w:rPr>
        <w:t xml:space="preserve"> </w:t>
      </w:r>
      <w:r w:rsidRPr="007B5742">
        <w:rPr>
          <w:rFonts w:ascii="Times New Roman" w:eastAsia="Calibri" w:hAnsi="Times New Roman"/>
          <w:sz w:val="24"/>
          <w:szCs w:val="24"/>
          <w:lang w:val="en-GB"/>
        </w:rPr>
        <w:t>evolution of the European values, principles &amp; identity &amp; to overcome the stereotypes &amp; prejudices in students.</w:t>
      </w:r>
    </w:p>
    <w:p w14:paraId="6FBB3C09"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lang w:val="en-GB"/>
        </w:rPr>
        <w:t>3. Guidebook on the innovative EUROPIA pedagogical concept for teaching the socio-cultural evolution of European</w:t>
      </w:r>
      <w:r w:rsidRPr="007B5742">
        <w:rPr>
          <w:rFonts w:ascii="Times New Roman" w:eastAsia="Calibri" w:hAnsi="Times New Roman"/>
          <w:sz w:val="24"/>
          <w:szCs w:val="24"/>
        </w:rPr>
        <w:t xml:space="preserve"> </w:t>
      </w:r>
      <w:r w:rsidRPr="007B5742">
        <w:rPr>
          <w:rFonts w:ascii="Times New Roman" w:eastAsia="Calibri" w:hAnsi="Times New Roman"/>
          <w:sz w:val="24"/>
          <w:szCs w:val="24"/>
          <w:lang w:val="en-GB"/>
        </w:rPr>
        <w:t>studies, history &amp; politics in a form of on-wheels summer schools.</w:t>
      </w:r>
    </w:p>
    <w:p w14:paraId="7CFB0686"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lang w:val="en-GB"/>
        </w:rPr>
        <w:t>4. EUROPIA platform &amp; interactive library with various materials on project topics.</w:t>
      </w:r>
    </w:p>
    <w:p w14:paraId="45363A31" w14:textId="77777777" w:rsidR="007B5742" w:rsidRPr="007B5742" w:rsidRDefault="007B5742" w:rsidP="007B5742">
      <w:pPr>
        <w:spacing w:after="160" w:line="256" w:lineRule="auto"/>
        <w:jc w:val="both"/>
        <w:rPr>
          <w:rFonts w:ascii="Times New Roman" w:eastAsia="Calibri" w:hAnsi="Times New Roman"/>
          <w:sz w:val="24"/>
          <w:szCs w:val="24"/>
        </w:rPr>
      </w:pPr>
    </w:p>
    <w:p w14:paraId="4C6338DA" w14:textId="77777777" w:rsid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 xml:space="preserve">Naziv projekta: INRS : Developing Information and Research Skills for Business, Innovation, and Entrepreneurship </w:t>
      </w:r>
    </w:p>
    <w:p w14:paraId="576048E6" w14:textId="77777777" w:rsidR="00CB5688" w:rsidRPr="007B5742" w:rsidRDefault="00CB5688" w:rsidP="007B5742">
      <w:pPr>
        <w:spacing w:after="160" w:line="256" w:lineRule="auto"/>
        <w:jc w:val="both"/>
        <w:rPr>
          <w:rFonts w:ascii="Times New Roman" w:eastAsia="Calibri" w:hAnsi="Times New Roman"/>
          <w:b/>
          <w:bCs/>
          <w:sz w:val="24"/>
          <w:szCs w:val="24"/>
        </w:rPr>
      </w:pPr>
    </w:p>
    <w:p w14:paraId="1588CEE0"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Projekt promiče informacijske i istraživačke vještine u poslovanju, inovacijama i poduzetništvu, te ispituje koncept "treće misije" sveučilišta koji je usmjeren na društveni i ekonomski učinak, uz identificiranje uloge knjižnica u navedenim procesima. </w:t>
      </w:r>
    </w:p>
    <w:p w14:paraId="3C752C62"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Cilj je projekta poticati informacijske i istraživačke vještine u poslovanju, inovacijama i poduzetništvu. Projektni tim će se posebno usredotočiti na razvoj kompetencija i vještina zaposlenika sveučilišta (informacijski stručnjaci i knjižničari) za pružanje relevantne potpore lokalnim poduzetničkim inicijativama i inovativnim pothvatima. Aktivnosti u okviru projekta poticat će ključne transferabilne vještine i vještine cjeloživotnog učenja.</w:t>
      </w:r>
    </w:p>
    <w:p w14:paraId="7634909A" w14:textId="77777777" w:rsidR="007B5742" w:rsidRPr="007B5742" w:rsidRDefault="007B5742" w:rsidP="007B5742">
      <w:pPr>
        <w:spacing w:after="160" w:line="256" w:lineRule="auto"/>
        <w:jc w:val="both"/>
        <w:rPr>
          <w:rFonts w:ascii="Times New Roman" w:eastAsia="Calibri" w:hAnsi="Times New Roman"/>
          <w:sz w:val="24"/>
          <w:szCs w:val="24"/>
        </w:rPr>
      </w:pPr>
    </w:p>
    <w:p w14:paraId="599C5E74" w14:textId="77777777" w:rsid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TEHIC (</w:t>
      </w:r>
      <w:r w:rsidRPr="007B5742">
        <w:rPr>
          <w:rFonts w:ascii="Times New Roman" w:eastAsia="Calibri" w:hAnsi="Times New Roman"/>
          <w:b/>
          <w:bCs/>
          <w:i/>
          <w:iCs/>
          <w:sz w:val="24"/>
          <w:szCs w:val="24"/>
        </w:rPr>
        <w:t>Towards a European Heritage Interpretation Curriculum</w:t>
      </w:r>
      <w:r w:rsidRPr="007B5742">
        <w:rPr>
          <w:rFonts w:ascii="Times New Roman" w:eastAsia="Calibri" w:hAnsi="Times New Roman"/>
          <w:b/>
          <w:bCs/>
          <w:sz w:val="24"/>
          <w:szCs w:val="24"/>
        </w:rPr>
        <w:t>) // 2022-1-SE01-KA220-HED-000085564  // Erasmus +</w:t>
      </w:r>
    </w:p>
    <w:p w14:paraId="6871F09A" w14:textId="77777777" w:rsidR="00CB5688" w:rsidRPr="007B5742" w:rsidRDefault="00CB5688" w:rsidP="007B5742">
      <w:pPr>
        <w:spacing w:after="160" w:line="256" w:lineRule="auto"/>
        <w:jc w:val="both"/>
        <w:rPr>
          <w:rFonts w:ascii="Times New Roman" w:eastAsia="Calibri" w:hAnsi="Times New Roman"/>
          <w:b/>
          <w:bCs/>
          <w:sz w:val="24"/>
          <w:szCs w:val="24"/>
        </w:rPr>
      </w:pPr>
    </w:p>
    <w:p w14:paraId="5EE06161"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Kratak opis projekta:  Interpretacija baštine je profesija koja je izravno povezana s glavnim ciljem svih europskih aktivnosti u vezi s baštinom: promicanjem i očuvanjem vrijednosti naše kulture i prirodnog okoliša. “Interpretacija je umijeće objašnjavanja čovjekova mjesta u njegovoj sredini, kako bi se kod posjetitelja povećala svijest o važnosti te interakcije i probudila u njemu želju da pridonese njezinom očuvanju” (Don Aldridge, 1973.). Profesija tumača baštine stoga ima veliku etičku odgovornost za podizanje svijesti o vrijednosti i potrebi očuvanja baštine među građanima. Vrijedno je spomenuti vezu između interpretacije baštine i njezine sposobnosti podupiranja ekonomskih resursa koji pridonose samom očuvanju baštinske imovine. Upravljanje baštinom povezuje baštinsko </w:t>
      </w:r>
      <w:r w:rsidRPr="007B5742">
        <w:rPr>
          <w:rFonts w:ascii="Times New Roman" w:eastAsia="Calibri" w:hAnsi="Times New Roman"/>
          <w:sz w:val="24"/>
          <w:szCs w:val="24"/>
        </w:rPr>
        <w:lastRenderedPageBreak/>
        <w:t>dobro i publiku kojoj je interpretacija namijenjena, premda se taj odnos uglavnom prenosi kroz turizam. S tim u vezi, moramo uzeti u obzir da upravljanje baštinom nije usmjereno samo na zadovoljenje potreba posjetitelja, već uvijek i prvenstveno na očuvanje same baštine i potreba zaštite. Kvalitetan plan za upravljanje baštinom, povezan sa strategijom interpretacije podupire održivu integraciju gospodarskih aktivnosti u očuvanje baštine. Kvaliteta profesije i razvoj povezanih kompetencija izravno su povezani s kvalitetom obuke koja se pruža za svaki sektor. Stoga priznavanje profesije tumača baštine na europskoj razini zahtijeva visokokvalitetan program obuke. Prijedlog TEHIC projekta osmišljen je za promicanje profesionalizacije u interpretaciji baštine na europskoj razini kroz stvaranje programa osposobljavanja na razini visokog obrazovanja koji kombinira stručno i akademsko znanje u sektoru. Primarne ciljne skupine projekta su studenti i stručnjaci koji rade u sektoru kulturne i prirodne baštine. Glavni cilj TEHIC projekta je izraditi standardizirani kurikulum i prateće sadržaje izobrazbe u području interpretaciji baštine koji će doprinijeti prepoznavanju profesije interpretatora baštine i povećati njihovu zapošljivost.</w:t>
      </w:r>
    </w:p>
    <w:p w14:paraId="6104ACE3"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Svrha i cilj projekta: Izrada ujednačenog europskog kurikuluma interpretacije baštine (na sveučilišnoj razini) sukladno dosadašnji teorijskim i praktičnim iskustvima u području interpretacije baštine. </w:t>
      </w:r>
    </w:p>
    <w:p w14:paraId="0B697AD4" w14:textId="77777777" w:rsidR="007B5742" w:rsidRPr="007B5742" w:rsidRDefault="007B5742" w:rsidP="007B5742">
      <w:pPr>
        <w:spacing w:after="160" w:line="256" w:lineRule="auto"/>
        <w:jc w:val="both"/>
        <w:rPr>
          <w:rFonts w:ascii="Times New Roman" w:eastAsia="Calibri" w:hAnsi="Times New Roman"/>
          <w:sz w:val="24"/>
          <w:szCs w:val="24"/>
        </w:rPr>
      </w:pPr>
    </w:p>
    <w:p w14:paraId="6899BBE1" w14:textId="77777777" w:rsid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EDMO Adria Digital Media Observatory (ADMO)</w:t>
      </w:r>
    </w:p>
    <w:p w14:paraId="01D0F739" w14:textId="77777777" w:rsidR="00CB5688" w:rsidRPr="007B5742" w:rsidRDefault="00CB5688" w:rsidP="007B5742">
      <w:pPr>
        <w:spacing w:after="160" w:line="256" w:lineRule="auto"/>
        <w:jc w:val="both"/>
        <w:rPr>
          <w:rFonts w:ascii="Times New Roman" w:eastAsia="Calibri" w:hAnsi="Times New Roman"/>
          <w:b/>
          <w:bCs/>
          <w:sz w:val="24"/>
          <w:szCs w:val="24"/>
        </w:rPr>
      </w:pPr>
    </w:p>
    <w:p w14:paraId="6CC98EA9"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Projekt će uključivati multidisciplinarna istraživanja vezano uz načine širenja dezinformacija, provjeru učinkovitosti mjera koje poduzimaju platforme za njihovo suzbijanje, razvoj posebnih alata za pravovremenu detekciju dezinformacija, praćenje utjecaj dezinformacija na demokratske procese. Nadalje, kroz projekt će biti provedene kampanjama medijske pismenosti kako bi se podigla javna svijest o štetnosti dezinformacija i osnažili građani i mediji. Projekt će koordinirati Sveučilište u Dubrovniku, a uključeni su Agence France-Presse (AFP), XWiki SAS, Adria News Croatia (N1), Fakultet političkih znanosti i novinarstva Sveučilišta u Zagrebu (FPZG), Fakultet elektrotehnike i računarstva Sveučilišta u Zagrebu (FER), Filozofski fakultet Sveučilišta u Zagrebu i GONG.</w:t>
      </w:r>
    </w:p>
    <w:p w14:paraId="0B72E721"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Projekt nalaže provođenje tri seta aktivnosti:</w:t>
      </w:r>
    </w:p>
    <w:p w14:paraId="521988AC"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1.  Analiza i detekcija štetnih dezinformacijskih kampanja na nacionalnom i regionalnom nivou i njihov utjecaj na društvo i demokraciju,</w:t>
      </w:r>
    </w:p>
    <w:p w14:paraId="389D045A"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2. Razotkrivanje dezinformacijskih kampanja, uključujući njihov utjecaj na društvo i demokraciju,</w:t>
      </w:r>
    </w:p>
    <w:p w14:paraId="7ABCD0AD"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3. Aktivnosti vezane uz medijsku pismenost na nacionalnom i regionalnom nivou.</w:t>
      </w:r>
    </w:p>
    <w:p w14:paraId="389E70D6"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Ovaj projekt je polazišna točka za stvaranje tzv. </w:t>
      </w:r>
      <w:r w:rsidRPr="007B5742">
        <w:rPr>
          <w:rFonts w:ascii="Times New Roman" w:eastAsia="Calibri" w:hAnsi="Times New Roman"/>
          <w:i/>
          <w:iCs/>
          <w:sz w:val="24"/>
          <w:szCs w:val="24"/>
        </w:rPr>
        <w:t>media-huba</w:t>
      </w:r>
      <w:r w:rsidRPr="007B5742">
        <w:rPr>
          <w:rFonts w:ascii="Times New Roman" w:eastAsia="Calibri" w:hAnsi="Times New Roman"/>
          <w:sz w:val="24"/>
          <w:szCs w:val="24"/>
        </w:rPr>
        <w:t xml:space="preserve"> na prostoru Hrvatske (i potencijalno regije) kao mjesta sinergije novinara_ki, znanstvene i akademske zajednice, tehnologije i fact-checkera kako bi se zajedno promišljale medijske strategije i politike, zagovarala etičnost i profesionalizam struke, provodila istraživanja i analize medijskog sadržaja i medijskog utjecaja te educirati zaposleni u novinarstvu.  </w:t>
      </w:r>
    </w:p>
    <w:p w14:paraId="315BA27A"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Cilj projekta je oformiti mrežu stručnjaka specijaliziranih za fact-checking, novinara, istraživača dezinformacija, edukatora za medijsku pismenost i sveučilišnih nastavnika i istraživača. Projektom se želi analizirati aktualne trendove kada je riječ o nastanku i širenju dezinformacijskih kampanja, voditi vlastite kampanje osvještavanja problema te provoditi edukacije za taj segment medijske pismenosti, prije svega za novinare i novinarke, ali u suradnji s akademskom zajednicom i fektčekerima.</w:t>
      </w:r>
    </w:p>
    <w:p w14:paraId="5717C3CD" w14:textId="77777777" w:rsidR="007B5742" w:rsidRP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lastRenderedPageBreak/>
        <w:t>Naziv projekta: Unapređivanje norveških studija na Sveučilištu u Zagrebu</w:t>
      </w:r>
    </w:p>
    <w:p w14:paraId="2BEBE67E" w14:textId="77777777" w:rsidR="00CB5688" w:rsidRDefault="00CB5688" w:rsidP="007B5742">
      <w:pPr>
        <w:spacing w:after="160" w:line="256" w:lineRule="auto"/>
        <w:jc w:val="both"/>
        <w:rPr>
          <w:rFonts w:ascii="Times New Roman" w:eastAsia="Calibri" w:hAnsi="Times New Roman"/>
          <w:sz w:val="24"/>
          <w:szCs w:val="24"/>
        </w:rPr>
      </w:pPr>
    </w:p>
    <w:p w14:paraId="5EA4AC4A" w14:textId="51790CC6"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Realizacijom norveškog lektora na Filozofskom fakultetu tijekom tri semestra te nizom drugih predviđenih aktivnosti (gostujuća predavanja, online predavanja kolega s partnerske institucije (SNU, Sveučilište u Agderu, Norvška), prevoditeljsko radionicom, sudjelovanjem jednog studenta na ljetnom tečaju na SNU, susretima kolega  sa SNUa i Katedre za skandinavisitku Ff-a) omogućiti ostvarenje ciljeva projekta.</w:t>
      </w:r>
    </w:p>
    <w:p w14:paraId="6E727556"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Svrha i cilj projekta:</w:t>
      </w:r>
    </w:p>
    <w:p w14:paraId="380C5802"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Omogućiti studentima četiriju generacija na Katedri za skandinavistiku intenzivnije i kvalitetnije razvijanje jezične i kulturne kompetencije povezane s Norveškom; osnažiti prisutnost norveških sadržaja u radu Katedre; uspostaviti odnose s partnerskom institucijom u Norveškoj (SNU, Sveučilšte u Agderu) radi buduće suradnje.</w:t>
      </w:r>
    </w:p>
    <w:p w14:paraId="4C9910A1" w14:textId="77777777" w:rsidR="007B5742" w:rsidRPr="007B5742" w:rsidRDefault="007B5742" w:rsidP="007B5742">
      <w:pPr>
        <w:spacing w:after="160" w:line="256" w:lineRule="auto"/>
        <w:jc w:val="both"/>
        <w:rPr>
          <w:rFonts w:ascii="Times New Roman" w:eastAsia="Calibri" w:hAnsi="Times New Roman"/>
          <w:sz w:val="24"/>
          <w:szCs w:val="24"/>
        </w:rPr>
      </w:pPr>
    </w:p>
    <w:p w14:paraId="271FCA67" w14:textId="77777777" w:rsidR="007B5742" w:rsidRPr="007B5742" w:rsidRDefault="007B5742" w:rsidP="007B574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 xml:space="preserve">Naziv projekta: </w:t>
      </w:r>
      <w:r w:rsidRPr="007B5742">
        <w:rPr>
          <w:rFonts w:ascii="Times New Roman" w:eastAsia="Calibri" w:hAnsi="Times New Roman"/>
          <w:b/>
          <w:bCs/>
          <w:sz w:val="24"/>
          <w:szCs w:val="24"/>
          <w:lang w:val="en-GB"/>
        </w:rPr>
        <w:t>Summer schools on environmental protection, sustainability</w:t>
      </w:r>
      <w:r w:rsidRPr="007B5742">
        <w:rPr>
          <w:rFonts w:ascii="Times New Roman" w:eastAsia="Calibri" w:hAnsi="Times New Roman"/>
          <w:b/>
          <w:bCs/>
          <w:sz w:val="24"/>
          <w:szCs w:val="24"/>
        </w:rPr>
        <w:t xml:space="preserve"> </w:t>
      </w:r>
      <w:r w:rsidRPr="007B5742">
        <w:rPr>
          <w:rFonts w:ascii="Times New Roman" w:eastAsia="Calibri" w:hAnsi="Times New Roman"/>
          <w:b/>
          <w:bCs/>
          <w:sz w:val="24"/>
          <w:szCs w:val="24"/>
          <w:lang w:val="en-GB"/>
        </w:rPr>
        <w:t xml:space="preserve">&amp; ecological </w:t>
      </w:r>
      <w:proofErr w:type="spellStart"/>
      <w:r w:rsidRPr="007B5742">
        <w:rPr>
          <w:rFonts w:ascii="Times New Roman" w:eastAsia="Calibri" w:hAnsi="Times New Roman"/>
          <w:b/>
          <w:bCs/>
          <w:sz w:val="24"/>
          <w:szCs w:val="24"/>
          <w:lang w:val="en-GB"/>
        </w:rPr>
        <w:t>behavior</w:t>
      </w:r>
      <w:proofErr w:type="spellEnd"/>
      <w:r w:rsidRPr="007B5742">
        <w:rPr>
          <w:rFonts w:ascii="Times New Roman" w:eastAsia="Calibri" w:hAnsi="Times New Roman"/>
          <w:b/>
          <w:bCs/>
          <w:sz w:val="24"/>
          <w:szCs w:val="24"/>
          <w:lang w:val="en-GB"/>
        </w:rPr>
        <w:t xml:space="preserve"> to support the integration and</w:t>
      </w:r>
      <w:r w:rsidRPr="007B5742">
        <w:rPr>
          <w:rFonts w:ascii="Times New Roman" w:eastAsia="Calibri" w:hAnsi="Times New Roman"/>
          <w:b/>
          <w:bCs/>
          <w:sz w:val="24"/>
          <w:szCs w:val="24"/>
        </w:rPr>
        <w:t xml:space="preserve"> </w:t>
      </w:r>
      <w:r w:rsidRPr="007B5742">
        <w:rPr>
          <w:rFonts w:ascii="Times New Roman" w:eastAsia="Calibri" w:hAnsi="Times New Roman"/>
          <w:b/>
          <w:bCs/>
          <w:sz w:val="24"/>
          <w:szCs w:val="24"/>
          <w:lang w:val="en-GB"/>
        </w:rPr>
        <w:t>inclusion of migrants &amp; refugees in the higher education –enhance the university professors competences</w:t>
      </w:r>
    </w:p>
    <w:p w14:paraId="09A4AA10"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  </w:t>
      </w:r>
    </w:p>
    <w:p w14:paraId="0D1CD6B9" w14:textId="77777777" w:rsidR="007B5742" w:rsidRPr="007B5742" w:rsidRDefault="007B5742" w:rsidP="007B5742">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lang w:val="en-GB"/>
        </w:rPr>
        <w:t>University academics are aware of the importance of full &amp; successful university integration of students from vulnerable</w:t>
      </w:r>
      <w:r w:rsidRPr="007B5742">
        <w:rPr>
          <w:rFonts w:ascii="Times New Roman" w:eastAsia="Calibri" w:hAnsi="Times New Roman"/>
          <w:sz w:val="24"/>
          <w:szCs w:val="24"/>
        </w:rPr>
        <w:t xml:space="preserve"> </w:t>
      </w:r>
      <w:r w:rsidRPr="007B5742">
        <w:rPr>
          <w:rFonts w:ascii="Times New Roman" w:eastAsia="Calibri" w:hAnsi="Times New Roman"/>
          <w:sz w:val="24"/>
          <w:szCs w:val="24"/>
          <w:lang w:val="en-GB"/>
        </w:rPr>
        <w:t>group, incl. migrants, refugees or members of various minorities. In theory, the academic environment should be more</w:t>
      </w:r>
      <w:r w:rsidRPr="007B5742">
        <w:rPr>
          <w:rFonts w:ascii="Times New Roman" w:eastAsia="Calibri" w:hAnsi="Times New Roman"/>
          <w:sz w:val="24"/>
          <w:szCs w:val="24"/>
        </w:rPr>
        <w:t xml:space="preserve"> </w:t>
      </w:r>
      <w:r w:rsidRPr="007B5742">
        <w:rPr>
          <w:rFonts w:ascii="Times New Roman" w:eastAsia="Calibri" w:hAnsi="Times New Roman"/>
          <w:sz w:val="24"/>
          <w:szCs w:val="24"/>
          <w:lang w:val="en-GB"/>
        </w:rPr>
        <w:t xml:space="preserve">sensitive to those considered "others" &amp; "different". The need to work on better inclusion of vulnerable students is not </w:t>
      </w:r>
      <w:proofErr w:type="spellStart"/>
      <w:r w:rsidRPr="007B5742">
        <w:rPr>
          <w:rFonts w:ascii="Times New Roman" w:eastAsia="Calibri" w:hAnsi="Times New Roman"/>
          <w:sz w:val="24"/>
          <w:szCs w:val="24"/>
          <w:lang w:val="en-GB"/>
        </w:rPr>
        <w:t>onlycritical</w:t>
      </w:r>
      <w:proofErr w:type="spellEnd"/>
      <w:r w:rsidRPr="007B5742">
        <w:rPr>
          <w:rFonts w:ascii="Times New Roman" w:eastAsia="Calibri" w:hAnsi="Times New Roman"/>
          <w:sz w:val="24"/>
          <w:szCs w:val="24"/>
          <w:lang w:val="en-GB"/>
        </w:rPr>
        <w:t>. It is in the core of European values which stress equality &amp; humanism as main pillars of the EU vision. However,</w:t>
      </w:r>
      <w:r w:rsidRPr="007B5742">
        <w:rPr>
          <w:rFonts w:ascii="Times New Roman" w:eastAsia="Calibri" w:hAnsi="Times New Roman"/>
          <w:sz w:val="24"/>
          <w:szCs w:val="24"/>
        </w:rPr>
        <w:t xml:space="preserve"> </w:t>
      </w:r>
      <w:r w:rsidRPr="007B5742">
        <w:rPr>
          <w:rFonts w:ascii="Times New Roman" w:eastAsia="Calibri" w:hAnsi="Times New Roman"/>
          <w:sz w:val="24"/>
          <w:szCs w:val="24"/>
          <w:lang w:val="en-GB"/>
        </w:rPr>
        <w:t>there are almost no specific tools &amp; resources available at university level to assist academics in achieving better integration</w:t>
      </w:r>
      <w:r w:rsidRPr="007B5742">
        <w:rPr>
          <w:rFonts w:ascii="Times New Roman" w:eastAsia="Calibri" w:hAnsi="Times New Roman"/>
          <w:sz w:val="24"/>
          <w:szCs w:val="24"/>
        </w:rPr>
        <w:t xml:space="preserve"> </w:t>
      </w:r>
      <w:r w:rsidRPr="007B5742">
        <w:rPr>
          <w:rFonts w:ascii="Times New Roman" w:eastAsia="Calibri" w:hAnsi="Times New Roman"/>
          <w:sz w:val="24"/>
          <w:szCs w:val="24"/>
          <w:lang w:val="en-GB"/>
        </w:rPr>
        <w:t>&amp; inclusion of these groups in the education process &amp; in the social life of society in general. Due to the lack of focused</w:t>
      </w:r>
      <w:r w:rsidRPr="007B5742">
        <w:rPr>
          <w:rFonts w:ascii="Times New Roman" w:eastAsia="Calibri" w:hAnsi="Times New Roman"/>
          <w:sz w:val="24"/>
          <w:szCs w:val="24"/>
        </w:rPr>
        <w:t xml:space="preserve"> </w:t>
      </w:r>
      <w:r w:rsidRPr="007B5742">
        <w:rPr>
          <w:rFonts w:ascii="Times New Roman" w:eastAsia="Calibri" w:hAnsi="Times New Roman"/>
          <w:sz w:val="24"/>
          <w:szCs w:val="24"/>
          <w:lang w:val="en-GB"/>
        </w:rPr>
        <w:t>professional training, university academia has no practical knowledge, skills &amp; competencies to better work with such young</w:t>
      </w:r>
      <w:r w:rsidRPr="007B5742">
        <w:rPr>
          <w:rFonts w:ascii="Times New Roman" w:eastAsia="Calibri" w:hAnsi="Times New Roman"/>
          <w:sz w:val="24"/>
          <w:szCs w:val="24"/>
        </w:rPr>
        <w:t xml:space="preserve"> </w:t>
      </w:r>
      <w:r w:rsidRPr="007B5742">
        <w:rPr>
          <w:rFonts w:ascii="Times New Roman" w:eastAsia="Calibri" w:hAnsi="Times New Roman"/>
          <w:sz w:val="24"/>
          <w:szCs w:val="24"/>
          <w:lang w:val="en-GB"/>
        </w:rPr>
        <w:t>people and include them in the academic world</w:t>
      </w:r>
    </w:p>
    <w:p w14:paraId="26661F72" w14:textId="77777777" w:rsidR="007B5742" w:rsidRPr="007B5742" w:rsidRDefault="007B5742" w:rsidP="007B5742">
      <w:pPr>
        <w:spacing w:after="160" w:line="256" w:lineRule="auto"/>
        <w:jc w:val="both"/>
        <w:rPr>
          <w:rFonts w:ascii="Times New Roman" w:eastAsia="Calibri" w:hAnsi="Times New Roman"/>
          <w:sz w:val="24"/>
          <w:szCs w:val="24"/>
        </w:rPr>
      </w:pPr>
    </w:p>
    <w:p w14:paraId="660650A9" w14:textId="77777777" w:rsidR="00CB5688" w:rsidRDefault="00CB5688" w:rsidP="007B5742">
      <w:pPr>
        <w:rPr>
          <w:rFonts w:ascii="Times New Roman" w:eastAsia="Arial" w:hAnsi="Times New Roman"/>
          <w:bCs/>
          <w:sz w:val="24"/>
          <w:szCs w:val="24"/>
        </w:rPr>
      </w:pPr>
    </w:p>
    <w:p w14:paraId="36D120A5" w14:textId="36C8F554" w:rsidR="007B5742" w:rsidRPr="007B5742" w:rsidRDefault="007B5742" w:rsidP="007B5742">
      <w:pPr>
        <w:rPr>
          <w:rFonts w:ascii="Times New Roman" w:eastAsia="Arial" w:hAnsi="Times New Roman"/>
          <w:bCs/>
          <w:sz w:val="24"/>
          <w:szCs w:val="24"/>
        </w:rPr>
      </w:pPr>
      <w:r w:rsidRPr="007B5742">
        <w:rPr>
          <w:rFonts w:ascii="Times New Roman" w:eastAsia="Arial" w:hAnsi="Times New Roman"/>
          <w:bCs/>
          <w:sz w:val="24"/>
          <w:szCs w:val="24"/>
        </w:rPr>
        <w:t xml:space="preserve">U Zagrebu, </w:t>
      </w:r>
      <w:r w:rsidR="006174D9">
        <w:rPr>
          <w:rFonts w:ascii="Times New Roman" w:eastAsia="Arial" w:hAnsi="Times New Roman"/>
          <w:bCs/>
          <w:sz w:val="24"/>
          <w:szCs w:val="24"/>
        </w:rPr>
        <w:t>12</w:t>
      </w:r>
      <w:r w:rsidRPr="007B5742">
        <w:rPr>
          <w:rFonts w:ascii="Times New Roman" w:eastAsia="Arial" w:hAnsi="Times New Roman"/>
          <w:bCs/>
          <w:sz w:val="24"/>
          <w:szCs w:val="24"/>
        </w:rPr>
        <w:t xml:space="preserve">. </w:t>
      </w:r>
      <w:r w:rsidR="006174D9">
        <w:rPr>
          <w:rFonts w:ascii="Times New Roman" w:eastAsia="Arial" w:hAnsi="Times New Roman"/>
          <w:bCs/>
          <w:sz w:val="24"/>
          <w:szCs w:val="24"/>
        </w:rPr>
        <w:t>prosinca</w:t>
      </w:r>
      <w:r w:rsidRPr="007B5742">
        <w:rPr>
          <w:rFonts w:ascii="Times New Roman" w:eastAsia="Arial" w:hAnsi="Times New Roman"/>
          <w:bCs/>
          <w:sz w:val="24"/>
          <w:szCs w:val="24"/>
        </w:rPr>
        <w:t xml:space="preserve"> 2023.</w:t>
      </w:r>
    </w:p>
    <w:p w14:paraId="0FDE37AE" w14:textId="77777777" w:rsidR="007B5742" w:rsidRPr="007B5742" w:rsidRDefault="007B5742" w:rsidP="007B5742">
      <w:pPr>
        <w:rPr>
          <w:rFonts w:ascii="Times New Roman" w:eastAsia="Arial" w:hAnsi="Times New Roman"/>
          <w:bCs/>
          <w:sz w:val="24"/>
          <w:szCs w:val="24"/>
        </w:rPr>
      </w:pPr>
    </w:p>
    <w:p w14:paraId="5B0ACA9A" w14:textId="77777777" w:rsidR="007B5742" w:rsidRPr="007B5742" w:rsidRDefault="007B5742" w:rsidP="007B5742">
      <w:pPr>
        <w:rPr>
          <w:rFonts w:ascii="Times New Roman" w:eastAsia="Arial" w:hAnsi="Times New Roman"/>
          <w:sz w:val="24"/>
          <w:szCs w:val="24"/>
        </w:rPr>
      </w:pPr>
    </w:p>
    <w:p w14:paraId="519B529A" w14:textId="75EB88F3" w:rsidR="00E1055F" w:rsidRPr="003F74FC" w:rsidRDefault="00E1055F" w:rsidP="00E1055F">
      <w:pPr>
        <w:jc w:val="center"/>
        <w:rPr>
          <w:rFonts w:ascii="Times New Roman" w:hAnsi="Times New Roman"/>
          <w:sz w:val="24"/>
          <w:szCs w:val="24"/>
        </w:rPr>
      </w:pPr>
      <w:r>
        <w:rPr>
          <w:rFonts w:ascii="Times New Roman" w:hAnsi="Times New Roman"/>
          <w:sz w:val="24"/>
          <w:szCs w:val="24"/>
        </w:rPr>
        <w:t xml:space="preserve">                                                                                      </w:t>
      </w:r>
      <w:r w:rsidRPr="003F74FC">
        <w:rPr>
          <w:rFonts w:ascii="Times New Roman" w:hAnsi="Times New Roman"/>
          <w:sz w:val="24"/>
          <w:szCs w:val="24"/>
        </w:rPr>
        <w:t>Dekan:</w:t>
      </w:r>
    </w:p>
    <w:p w14:paraId="4EBCBE87" w14:textId="77777777" w:rsidR="00E1055F" w:rsidRPr="003F74FC" w:rsidRDefault="00E1055F" w:rsidP="00E1055F">
      <w:pPr>
        <w:rPr>
          <w:rFonts w:ascii="Times New Roman" w:hAnsi="Times New Roman"/>
          <w:sz w:val="24"/>
          <w:szCs w:val="24"/>
        </w:rPr>
      </w:pPr>
    </w:p>
    <w:p w14:paraId="39E6200E" w14:textId="4F67DFD2" w:rsidR="00E1055F" w:rsidRPr="003F74FC" w:rsidRDefault="00E1055F" w:rsidP="00E1055F">
      <w:pPr>
        <w:rPr>
          <w:rFonts w:ascii="Times New Roman" w:hAnsi="Times New Roman"/>
          <w:sz w:val="24"/>
          <w:szCs w:val="24"/>
        </w:rPr>
      </w:pPr>
      <w:r w:rsidRPr="003F74FC">
        <w:rPr>
          <w:rFonts w:ascii="Times New Roman" w:hAnsi="Times New Roman"/>
          <w:sz w:val="24"/>
          <w:szCs w:val="24"/>
        </w:rPr>
        <w:t xml:space="preserve">                                                                                               </w:t>
      </w:r>
      <w:r>
        <w:rPr>
          <w:rFonts w:ascii="Times New Roman" w:hAnsi="Times New Roman"/>
          <w:sz w:val="24"/>
          <w:szCs w:val="24"/>
        </w:rPr>
        <w:t xml:space="preserve">    ____________________________</w:t>
      </w:r>
      <w:r w:rsidRPr="003F74FC">
        <w:rPr>
          <w:rFonts w:ascii="Times New Roman" w:hAnsi="Times New Roman"/>
          <w:sz w:val="24"/>
          <w:szCs w:val="24"/>
        </w:rPr>
        <w:t xml:space="preserve">                                       </w:t>
      </w:r>
    </w:p>
    <w:p w14:paraId="4C6878D9" w14:textId="17812750" w:rsidR="00E1055F" w:rsidRPr="00B55A24" w:rsidRDefault="00E1055F" w:rsidP="00E1055F">
      <w:pPr>
        <w:spacing w:before="120"/>
        <w:rPr>
          <w:rFonts w:ascii="Times New Roman" w:hAnsi="Times New Roman"/>
        </w:rPr>
      </w:pPr>
      <w:r w:rsidRPr="003F74FC">
        <w:rPr>
          <w:rFonts w:ascii="Times New Roman" w:hAnsi="Times New Roman"/>
          <w:sz w:val="24"/>
          <w:szCs w:val="24"/>
        </w:rPr>
        <w:t xml:space="preserve">                                                                                              </w:t>
      </w:r>
      <w:r>
        <w:rPr>
          <w:rFonts w:ascii="Times New Roman" w:hAnsi="Times New Roman"/>
          <w:sz w:val="24"/>
          <w:szCs w:val="24"/>
        </w:rPr>
        <w:t xml:space="preserve"> </w:t>
      </w:r>
      <w:r w:rsidRPr="003F74FC">
        <w:rPr>
          <w:rFonts w:ascii="Times New Roman" w:hAnsi="Times New Roman"/>
          <w:sz w:val="24"/>
          <w:szCs w:val="24"/>
        </w:rPr>
        <w:t xml:space="preserve">    </w:t>
      </w:r>
      <w:r>
        <w:rPr>
          <w:rFonts w:ascii="Times New Roman" w:hAnsi="Times New Roman"/>
          <w:sz w:val="24"/>
          <w:szCs w:val="24"/>
        </w:rPr>
        <w:t>Izv. p</w:t>
      </w:r>
      <w:r w:rsidRPr="003F74FC">
        <w:rPr>
          <w:rFonts w:ascii="Times New Roman" w:hAnsi="Times New Roman"/>
          <w:sz w:val="24"/>
          <w:szCs w:val="24"/>
        </w:rPr>
        <w:t>rof.</w:t>
      </w:r>
      <w:r>
        <w:rPr>
          <w:rFonts w:ascii="Times New Roman" w:hAnsi="Times New Roman"/>
          <w:sz w:val="24"/>
          <w:szCs w:val="24"/>
        </w:rPr>
        <w:t xml:space="preserve"> </w:t>
      </w:r>
      <w:r w:rsidRPr="003F74FC">
        <w:rPr>
          <w:rFonts w:ascii="Times New Roman" w:hAnsi="Times New Roman"/>
          <w:sz w:val="24"/>
          <w:szCs w:val="24"/>
        </w:rPr>
        <w:t>dr.</w:t>
      </w:r>
      <w:r>
        <w:rPr>
          <w:rFonts w:ascii="Times New Roman" w:hAnsi="Times New Roman"/>
          <w:sz w:val="24"/>
          <w:szCs w:val="24"/>
        </w:rPr>
        <w:t xml:space="preserve"> </w:t>
      </w:r>
      <w:r w:rsidRPr="003F74FC">
        <w:rPr>
          <w:rFonts w:ascii="Times New Roman" w:hAnsi="Times New Roman"/>
          <w:sz w:val="24"/>
          <w:szCs w:val="24"/>
        </w:rPr>
        <w:t xml:space="preserve">sc. </w:t>
      </w:r>
      <w:r>
        <w:rPr>
          <w:rFonts w:ascii="Times New Roman" w:hAnsi="Times New Roman"/>
          <w:sz w:val="24"/>
          <w:szCs w:val="24"/>
        </w:rPr>
        <w:t>Domagoj Tončinić</w:t>
      </w:r>
    </w:p>
    <w:p w14:paraId="7750C90C" w14:textId="5EF10CC6" w:rsidR="007B5742" w:rsidRPr="007B5742" w:rsidRDefault="007B5742" w:rsidP="007B5742">
      <w:pPr>
        <w:rPr>
          <w:rFonts w:ascii="Times New Roman" w:eastAsia="Arial" w:hAnsi="Times New Roman"/>
          <w:sz w:val="24"/>
          <w:szCs w:val="24"/>
        </w:rPr>
      </w:pPr>
    </w:p>
    <w:p w14:paraId="713DCC2A" w14:textId="65A6DBD1" w:rsidR="00CB5688" w:rsidRPr="00B55A24" w:rsidRDefault="007B5742" w:rsidP="00CB5688">
      <w:pPr>
        <w:rPr>
          <w:rFonts w:ascii="Times New Roman" w:hAnsi="Times New Roman"/>
        </w:rPr>
      </w:pPr>
      <w:r w:rsidRPr="007B5742">
        <w:rPr>
          <w:rFonts w:ascii="Times New Roman" w:eastAsia="Arial" w:hAnsi="Times New Roman"/>
          <w:sz w:val="24"/>
          <w:szCs w:val="24"/>
        </w:rPr>
        <w:t xml:space="preserve">                                                                                                               </w:t>
      </w:r>
    </w:p>
    <w:p w14:paraId="7A686FB2" w14:textId="27510BB9" w:rsidR="003F74FC" w:rsidRPr="00B55A24" w:rsidRDefault="003F74FC" w:rsidP="00E93F46">
      <w:pPr>
        <w:spacing w:before="120"/>
        <w:rPr>
          <w:rFonts w:ascii="Times New Roman" w:hAnsi="Times New Roman"/>
        </w:rPr>
      </w:pPr>
    </w:p>
    <w:sectPr w:rsidR="003F74FC" w:rsidRPr="00B55A24" w:rsidSect="00E93F46">
      <w:footerReference w:type="default" r:id="rId6"/>
      <w:pgSz w:w="11906" w:h="16838"/>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2527" w14:textId="77777777" w:rsidR="00192372" w:rsidRDefault="00192372" w:rsidP="00364558">
      <w:r>
        <w:separator/>
      </w:r>
    </w:p>
  </w:endnote>
  <w:endnote w:type="continuationSeparator" w:id="0">
    <w:p w14:paraId="05DFA19E" w14:textId="77777777" w:rsidR="00192372" w:rsidRDefault="00192372" w:rsidP="0036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080220"/>
      <w:docPartObj>
        <w:docPartGallery w:val="Page Numbers (Bottom of Page)"/>
        <w:docPartUnique/>
      </w:docPartObj>
    </w:sdtPr>
    <w:sdtEndPr/>
    <w:sdtContent>
      <w:p w14:paraId="342AF477" w14:textId="77777777" w:rsidR="00E93F46" w:rsidRDefault="00E93F46">
        <w:pPr>
          <w:pStyle w:val="Footer"/>
          <w:jc w:val="right"/>
        </w:pPr>
        <w:r>
          <w:fldChar w:fldCharType="begin"/>
        </w:r>
        <w:r>
          <w:instrText>PAGE   \* MERGEFORMAT</w:instrText>
        </w:r>
        <w:r>
          <w:fldChar w:fldCharType="separate"/>
        </w:r>
        <w:r w:rsidR="00813136">
          <w:rPr>
            <w:noProof/>
          </w:rPr>
          <w:t>3</w:t>
        </w:r>
        <w:r>
          <w:fldChar w:fldCharType="end"/>
        </w:r>
      </w:p>
    </w:sdtContent>
  </w:sdt>
  <w:p w14:paraId="6EF1535E" w14:textId="77777777" w:rsidR="00364558" w:rsidRDefault="00364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F0CE" w14:textId="77777777" w:rsidR="00192372" w:rsidRDefault="00192372" w:rsidP="00364558">
      <w:r>
        <w:separator/>
      </w:r>
    </w:p>
  </w:footnote>
  <w:footnote w:type="continuationSeparator" w:id="0">
    <w:p w14:paraId="418E9FD0" w14:textId="77777777" w:rsidR="00192372" w:rsidRDefault="00192372" w:rsidP="00364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24"/>
    <w:rsid w:val="00006C3D"/>
    <w:rsid w:val="00011E82"/>
    <w:rsid w:val="0001230C"/>
    <w:rsid w:val="00014222"/>
    <w:rsid w:val="00015711"/>
    <w:rsid w:val="00015A4E"/>
    <w:rsid w:val="00021820"/>
    <w:rsid w:val="0002248F"/>
    <w:rsid w:val="0002304C"/>
    <w:rsid w:val="000266F7"/>
    <w:rsid w:val="00030BA9"/>
    <w:rsid w:val="000400B0"/>
    <w:rsid w:val="000444AB"/>
    <w:rsid w:val="00044B1E"/>
    <w:rsid w:val="000650F4"/>
    <w:rsid w:val="00073863"/>
    <w:rsid w:val="00075D5B"/>
    <w:rsid w:val="00076669"/>
    <w:rsid w:val="00076802"/>
    <w:rsid w:val="00082044"/>
    <w:rsid w:val="000840B1"/>
    <w:rsid w:val="00086CB5"/>
    <w:rsid w:val="00092EAE"/>
    <w:rsid w:val="00094F7B"/>
    <w:rsid w:val="00095F8D"/>
    <w:rsid w:val="000A181F"/>
    <w:rsid w:val="000A364C"/>
    <w:rsid w:val="000A6A74"/>
    <w:rsid w:val="000C23C2"/>
    <w:rsid w:val="000C289F"/>
    <w:rsid w:val="000C3DA0"/>
    <w:rsid w:val="000D04B6"/>
    <w:rsid w:val="000D0B25"/>
    <w:rsid w:val="000E41A5"/>
    <w:rsid w:val="00104782"/>
    <w:rsid w:val="00112CC2"/>
    <w:rsid w:val="00114814"/>
    <w:rsid w:val="0012555D"/>
    <w:rsid w:val="00130429"/>
    <w:rsid w:val="0013670A"/>
    <w:rsid w:val="00136E04"/>
    <w:rsid w:val="00153F3F"/>
    <w:rsid w:val="001555B0"/>
    <w:rsid w:val="00157EB7"/>
    <w:rsid w:val="00167990"/>
    <w:rsid w:val="00174937"/>
    <w:rsid w:val="001757A4"/>
    <w:rsid w:val="0017633E"/>
    <w:rsid w:val="00181399"/>
    <w:rsid w:val="00190918"/>
    <w:rsid w:val="00192372"/>
    <w:rsid w:val="001A06AC"/>
    <w:rsid w:val="001A13CA"/>
    <w:rsid w:val="001A2B62"/>
    <w:rsid w:val="001B287A"/>
    <w:rsid w:val="001C3364"/>
    <w:rsid w:val="001C41A4"/>
    <w:rsid w:val="001D60ED"/>
    <w:rsid w:val="001E638F"/>
    <w:rsid w:val="001E6E4D"/>
    <w:rsid w:val="001F32C5"/>
    <w:rsid w:val="001F66BE"/>
    <w:rsid w:val="00204063"/>
    <w:rsid w:val="002136CF"/>
    <w:rsid w:val="0021429A"/>
    <w:rsid w:val="00225244"/>
    <w:rsid w:val="00227C86"/>
    <w:rsid w:val="002342BD"/>
    <w:rsid w:val="002417FF"/>
    <w:rsid w:val="00244D2C"/>
    <w:rsid w:val="00261904"/>
    <w:rsid w:val="0026366B"/>
    <w:rsid w:val="00263FDE"/>
    <w:rsid w:val="00266ECC"/>
    <w:rsid w:val="00280091"/>
    <w:rsid w:val="0028379F"/>
    <w:rsid w:val="00286B9C"/>
    <w:rsid w:val="002904F7"/>
    <w:rsid w:val="002936CD"/>
    <w:rsid w:val="00294759"/>
    <w:rsid w:val="002A6ED5"/>
    <w:rsid w:val="002B046B"/>
    <w:rsid w:val="002B167F"/>
    <w:rsid w:val="002B6B06"/>
    <w:rsid w:val="002C2FF9"/>
    <w:rsid w:val="002C7A13"/>
    <w:rsid w:val="002D1234"/>
    <w:rsid w:val="002D4DC4"/>
    <w:rsid w:val="002D7EC9"/>
    <w:rsid w:val="002E33ED"/>
    <w:rsid w:val="002F2AB4"/>
    <w:rsid w:val="002F4EB0"/>
    <w:rsid w:val="002F5770"/>
    <w:rsid w:val="0030684F"/>
    <w:rsid w:val="003161A8"/>
    <w:rsid w:val="0031646C"/>
    <w:rsid w:val="003257D9"/>
    <w:rsid w:val="003304F8"/>
    <w:rsid w:val="00333B21"/>
    <w:rsid w:val="0034527C"/>
    <w:rsid w:val="003520AC"/>
    <w:rsid w:val="00352A65"/>
    <w:rsid w:val="003549DE"/>
    <w:rsid w:val="00360D89"/>
    <w:rsid w:val="0036312C"/>
    <w:rsid w:val="00363D52"/>
    <w:rsid w:val="00364558"/>
    <w:rsid w:val="00372FFB"/>
    <w:rsid w:val="00375D96"/>
    <w:rsid w:val="00383D5F"/>
    <w:rsid w:val="00392684"/>
    <w:rsid w:val="003947D1"/>
    <w:rsid w:val="00396D54"/>
    <w:rsid w:val="003A72DA"/>
    <w:rsid w:val="003B0CEF"/>
    <w:rsid w:val="003B1CDB"/>
    <w:rsid w:val="003B4496"/>
    <w:rsid w:val="003B7893"/>
    <w:rsid w:val="003C7EF2"/>
    <w:rsid w:val="003D2601"/>
    <w:rsid w:val="003D38AC"/>
    <w:rsid w:val="003D44CC"/>
    <w:rsid w:val="003E2782"/>
    <w:rsid w:val="003E54EF"/>
    <w:rsid w:val="003E68FF"/>
    <w:rsid w:val="003F74FC"/>
    <w:rsid w:val="00402B05"/>
    <w:rsid w:val="0040348B"/>
    <w:rsid w:val="0040579C"/>
    <w:rsid w:val="00410141"/>
    <w:rsid w:val="004107B9"/>
    <w:rsid w:val="00420F78"/>
    <w:rsid w:val="00421467"/>
    <w:rsid w:val="00421704"/>
    <w:rsid w:val="00422C63"/>
    <w:rsid w:val="00423C88"/>
    <w:rsid w:val="00425EAD"/>
    <w:rsid w:val="0042681E"/>
    <w:rsid w:val="0043676B"/>
    <w:rsid w:val="00436A3C"/>
    <w:rsid w:val="00437BC6"/>
    <w:rsid w:val="00437F13"/>
    <w:rsid w:val="00450695"/>
    <w:rsid w:val="00455216"/>
    <w:rsid w:val="004561B3"/>
    <w:rsid w:val="00456442"/>
    <w:rsid w:val="00472C0B"/>
    <w:rsid w:val="004740BA"/>
    <w:rsid w:val="004776E8"/>
    <w:rsid w:val="00480EDB"/>
    <w:rsid w:val="00481ECA"/>
    <w:rsid w:val="0048254C"/>
    <w:rsid w:val="00483EC6"/>
    <w:rsid w:val="00486F2A"/>
    <w:rsid w:val="0049319C"/>
    <w:rsid w:val="004943A7"/>
    <w:rsid w:val="004944BB"/>
    <w:rsid w:val="00496216"/>
    <w:rsid w:val="0049738F"/>
    <w:rsid w:val="004A41EC"/>
    <w:rsid w:val="004B2E37"/>
    <w:rsid w:val="004C4D50"/>
    <w:rsid w:val="004D39A7"/>
    <w:rsid w:val="004E2308"/>
    <w:rsid w:val="004E2686"/>
    <w:rsid w:val="004E73F0"/>
    <w:rsid w:val="004F1E75"/>
    <w:rsid w:val="004F478D"/>
    <w:rsid w:val="004F5397"/>
    <w:rsid w:val="004F5E0A"/>
    <w:rsid w:val="005042CE"/>
    <w:rsid w:val="005076D6"/>
    <w:rsid w:val="0052198B"/>
    <w:rsid w:val="005247BE"/>
    <w:rsid w:val="005269FB"/>
    <w:rsid w:val="00530A11"/>
    <w:rsid w:val="005318C3"/>
    <w:rsid w:val="00531E63"/>
    <w:rsid w:val="00552B5A"/>
    <w:rsid w:val="00571654"/>
    <w:rsid w:val="005857A8"/>
    <w:rsid w:val="00590655"/>
    <w:rsid w:val="00593403"/>
    <w:rsid w:val="0059738A"/>
    <w:rsid w:val="005B5F3A"/>
    <w:rsid w:val="005C64A1"/>
    <w:rsid w:val="005D3723"/>
    <w:rsid w:val="005D6F1D"/>
    <w:rsid w:val="005E722F"/>
    <w:rsid w:val="005E7A49"/>
    <w:rsid w:val="005F08CC"/>
    <w:rsid w:val="005F1BD2"/>
    <w:rsid w:val="005F39BD"/>
    <w:rsid w:val="005F7118"/>
    <w:rsid w:val="005F7C5E"/>
    <w:rsid w:val="006001D7"/>
    <w:rsid w:val="00606115"/>
    <w:rsid w:val="00607040"/>
    <w:rsid w:val="00613515"/>
    <w:rsid w:val="006147D3"/>
    <w:rsid w:val="00615106"/>
    <w:rsid w:val="006174D9"/>
    <w:rsid w:val="00626273"/>
    <w:rsid w:val="00634726"/>
    <w:rsid w:val="00645668"/>
    <w:rsid w:val="0065160D"/>
    <w:rsid w:val="0065186F"/>
    <w:rsid w:val="00653245"/>
    <w:rsid w:val="00653891"/>
    <w:rsid w:val="00661161"/>
    <w:rsid w:val="00664902"/>
    <w:rsid w:val="00671EB8"/>
    <w:rsid w:val="00684817"/>
    <w:rsid w:val="00685063"/>
    <w:rsid w:val="006A0EBF"/>
    <w:rsid w:val="006A10B2"/>
    <w:rsid w:val="006A2AD8"/>
    <w:rsid w:val="006A3171"/>
    <w:rsid w:val="006A3AE8"/>
    <w:rsid w:val="006A5FFD"/>
    <w:rsid w:val="006A62D8"/>
    <w:rsid w:val="006B1D10"/>
    <w:rsid w:val="006B3658"/>
    <w:rsid w:val="006B5CA2"/>
    <w:rsid w:val="006B7F15"/>
    <w:rsid w:val="006C0B22"/>
    <w:rsid w:val="006C2716"/>
    <w:rsid w:val="006C4BDB"/>
    <w:rsid w:val="006D1F37"/>
    <w:rsid w:val="006D30D4"/>
    <w:rsid w:val="006D3F17"/>
    <w:rsid w:val="006E19B2"/>
    <w:rsid w:val="006E5572"/>
    <w:rsid w:val="006F7F84"/>
    <w:rsid w:val="00702D47"/>
    <w:rsid w:val="0070637F"/>
    <w:rsid w:val="007104D7"/>
    <w:rsid w:val="00710DA8"/>
    <w:rsid w:val="00722711"/>
    <w:rsid w:val="00731215"/>
    <w:rsid w:val="007330DE"/>
    <w:rsid w:val="00734339"/>
    <w:rsid w:val="007346B2"/>
    <w:rsid w:val="00735C80"/>
    <w:rsid w:val="00745E51"/>
    <w:rsid w:val="0076039F"/>
    <w:rsid w:val="00762B36"/>
    <w:rsid w:val="00767EA4"/>
    <w:rsid w:val="007726DC"/>
    <w:rsid w:val="00777CDD"/>
    <w:rsid w:val="00787566"/>
    <w:rsid w:val="00793BCD"/>
    <w:rsid w:val="00797B9E"/>
    <w:rsid w:val="007A0964"/>
    <w:rsid w:val="007A21AF"/>
    <w:rsid w:val="007A40F3"/>
    <w:rsid w:val="007A41A7"/>
    <w:rsid w:val="007A6625"/>
    <w:rsid w:val="007B5742"/>
    <w:rsid w:val="007C2FAA"/>
    <w:rsid w:val="007C60D4"/>
    <w:rsid w:val="007C6A15"/>
    <w:rsid w:val="007D32AB"/>
    <w:rsid w:val="007E2380"/>
    <w:rsid w:val="007E28C1"/>
    <w:rsid w:val="007F2B18"/>
    <w:rsid w:val="007F46E5"/>
    <w:rsid w:val="00802061"/>
    <w:rsid w:val="008028FF"/>
    <w:rsid w:val="00804002"/>
    <w:rsid w:val="008057D5"/>
    <w:rsid w:val="00810FD5"/>
    <w:rsid w:val="00813136"/>
    <w:rsid w:val="00817853"/>
    <w:rsid w:val="00817E3D"/>
    <w:rsid w:val="008218D7"/>
    <w:rsid w:val="00823D09"/>
    <w:rsid w:val="0083364D"/>
    <w:rsid w:val="008345E5"/>
    <w:rsid w:val="00841E12"/>
    <w:rsid w:val="00843AAA"/>
    <w:rsid w:val="00846325"/>
    <w:rsid w:val="008532EF"/>
    <w:rsid w:val="00872A6C"/>
    <w:rsid w:val="00884E0E"/>
    <w:rsid w:val="0088541B"/>
    <w:rsid w:val="00886531"/>
    <w:rsid w:val="00886A78"/>
    <w:rsid w:val="00892F04"/>
    <w:rsid w:val="00895288"/>
    <w:rsid w:val="00895948"/>
    <w:rsid w:val="008B367A"/>
    <w:rsid w:val="008B3EF0"/>
    <w:rsid w:val="008C68AC"/>
    <w:rsid w:val="008D4D2F"/>
    <w:rsid w:val="008E1639"/>
    <w:rsid w:val="008E27EB"/>
    <w:rsid w:val="008F4E9E"/>
    <w:rsid w:val="008F6182"/>
    <w:rsid w:val="009000DA"/>
    <w:rsid w:val="00900F16"/>
    <w:rsid w:val="0090236E"/>
    <w:rsid w:val="00904107"/>
    <w:rsid w:val="00911589"/>
    <w:rsid w:val="009121C3"/>
    <w:rsid w:val="009129E0"/>
    <w:rsid w:val="00934B94"/>
    <w:rsid w:val="00940A07"/>
    <w:rsid w:val="0094668C"/>
    <w:rsid w:val="00947FFC"/>
    <w:rsid w:val="00950656"/>
    <w:rsid w:val="00952B40"/>
    <w:rsid w:val="0095437F"/>
    <w:rsid w:val="0095671C"/>
    <w:rsid w:val="009622C2"/>
    <w:rsid w:val="0096374C"/>
    <w:rsid w:val="00974BE3"/>
    <w:rsid w:val="00977B4C"/>
    <w:rsid w:val="00980527"/>
    <w:rsid w:val="00986EE4"/>
    <w:rsid w:val="009879B7"/>
    <w:rsid w:val="009A143F"/>
    <w:rsid w:val="009A1D2D"/>
    <w:rsid w:val="009B145D"/>
    <w:rsid w:val="009B58C5"/>
    <w:rsid w:val="009C32C4"/>
    <w:rsid w:val="009C334A"/>
    <w:rsid w:val="009C7AF4"/>
    <w:rsid w:val="009D56C9"/>
    <w:rsid w:val="009D6C14"/>
    <w:rsid w:val="009D6ED8"/>
    <w:rsid w:val="009E54A8"/>
    <w:rsid w:val="009F134D"/>
    <w:rsid w:val="009F2BC9"/>
    <w:rsid w:val="009F5581"/>
    <w:rsid w:val="009F6598"/>
    <w:rsid w:val="00A06808"/>
    <w:rsid w:val="00A1007B"/>
    <w:rsid w:val="00A13A52"/>
    <w:rsid w:val="00A1592A"/>
    <w:rsid w:val="00A16C21"/>
    <w:rsid w:val="00A170D9"/>
    <w:rsid w:val="00A41B8D"/>
    <w:rsid w:val="00A43C50"/>
    <w:rsid w:val="00A52FC0"/>
    <w:rsid w:val="00A57152"/>
    <w:rsid w:val="00A63B3D"/>
    <w:rsid w:val="00A65A16"/>
    <w:rsid w:val="00A66735"/>
    <w:rsid w:val="00A725DD"/>
    <w:rsid w:val="00A814A6"/>
    <w:rsid w:val="00A81F0E"/>
    <w:rsid w:val="00A83C10"/>
    <w:rsid w:val="00A93700"/>
    <w:rsid w:val="00AA0DE8"/>
    <w:rsid w:val="00AA7A2A"/>
    <w:rsid w:val="00AB09A4"/>
    <w:rsid w:val="00AB7A4C"/>
    <w:rsid w:val="00AC2D5B"/>
    <w:rsid w:val="00AC6298"/>
    <w:rsid w:val="00AD44CB"/>
    <w:rsid w:val="00AD5E1E"/>
    <w:rsid w:val="00AE1439"/>
    <w:rsid w:val="00AF7D22"/>
    <w:rsid w:val="00B02C14"/>
    <w:rsid w:val="00B24942"/>
    <w:rsid w:val="00B250EF"/>
    <w:rsid w:val="00B36E14"/>
    <w:rsid w:val="00B42BB0"/>
    <w:rsid w:val="00B55A24"/>
    <w:rsid w:val="00B62BF2"/>
    <w:rsid w:val="00B710EF"/>
    <w:rsid w:val="00B764ED"/>
    <w:rsid w:val="00B7789D"/>
    <w:rsid w:val="00B779C9"/>
    <w:rsid w:val="00BB1D2F"/>
    <w:rsid w:val="00BB5B42"/>
    <w:rsid w:val="00BB5D74"/>
    <w:rsid w:val="00BB7C8D"/>
    <w:rsid w:val="00BC6DFC"/>
    <w:rsid w:val="00BD2EC5"/>
    <w:rsid w:val="00BD2EF2"/>
    <w:rsid w:val="00BD3F0B"/>
    <w:rsid w:val="00BD452F"/>
    <w:rsid w:val="00BE1159"/>
    <w:rsid w:val="00BF2FD1"/>
    <w:rsid w:val="00BF4AEB"/>
    <w:rsid w:val="00BF5AB5"/>
    <w:rsid w:val="00C11CAD"/>
    <w:rsid w:val="00C173F1"/>
    <w:rsid w:val="00C260CD"/>
    <w:rsid w:val="00C37847"/>
    <w:rsid w:val="00C55CF9"/>
    <w:rsid w:val="00C56DD1"/>
    <w:rsid w:val="00C73AE6"/>
    <w:rsid w:val="00C8214B"/>
    <w:rsid w:val="00C86041"/>
    <w:rsid w:val="00C86708"/>
    <w:rsid w:val="00C916D7"/>
    <w:rsid w:val="00C92CB8"/>
    <w:rsid w:val="00CA2F47"/>
    <w:rsid w:val="00CA3254"/>
    <w:rsid w:val="00CA41E9"/>
    <w:rsid w:val="00CA5262"/>
    <w:rsid w:val="00CB3291"/>
    <w:rsid w:val="00CB5688"/>
    <w:rsid w:val="00CC013C"/>
    <w:rsid w:val="00CC0D87"/>
    <w:rsid w:val="00CC4D0C"/>
    <w:rsid w:val="00CD0FAE"/>
    <w:rsid w:val="00CD34C7"/>
    <w:rsid w:val="00CE0D58"/>
    <w:rsid w:val="00CE3026"/>
    <w:rsid w:val="00CF6D6F"/>
    <w:rsid w:val="00D0191A"/>
    <w:rsid w:val="00D024E4"/>
    <w:rsid w:val="00D16B94"/>
    <w:rsid w:val="00D2156C"/>
    <w:rsid w:val="00D27FAE"/>
    <w:rsid w:val="00D30248"/>
    <w:rsid w:val="00D357F1"/>
    <w:rsid w:val="00D457D6"/>
    <w:rsid w:val="00D465E8"/>
    <w:rsid w:val="00D46AC8"/>
    <w:rsid w:val="00D65224"/>
    <w:rsid w:val="00D65D4A"/>
    <w:rsid w:val="00D65F44"/>
    <w:rsid w:val="00D67C2D"/>
    <w:rsid w:val="00D75999"/>
    <w:rsid w:val="00D761DD"/>
    <w:rsid w:val="00D84206"/>
    <w:rsid w:val="00D86FCF"/>
    <w:rsid w:val="00D90AC1"/>
    <w:rsid w:val="00D9261F"/>
    <w:rsid w:val="00D9457B"/>
    <w:rsid w:val="00D9485A"/>
    <w:rsid w:val="00D94C95"/>
    <w:rsid w:val="00D950B8"/>
    <w:rsid w:val="00D967D4"/>
    <w:rsid w:val="00DA05CE"/>
    <w:rsid w:val="00DA4B01"/>
    <w:rsid w:val="00DA621C"/>
    <w:rsid w:val="00DB0F15"/>
    <w:rsid w:val="00DB46EE"/>
    <w:rsid w:val="00DC475F"/>
    <w:rsid w:val="00DC48B4"/>
    <w:rsid w:val="00DC620E"/>
    <w:rsid w:val="00DC62A6"/>
    <w:rsid w:val="00DD04E4"/>
    <w:rsid w:val="00DD2BCE"/>
    <w:rsid w:val="00DE0649"/>
    <w:rsid w:val="00DE27E1"/>
    <w:rsid w:val="00DF36F6"/>
    <w:rsid w:val="00E01FE2"/>
    <w:rsid w:val="00E05C63"/>
    <w:rsid w:val="00E075D6"/>
    <w:rsid w:val="00E1055F"/>
    <w:rsid w:val="00E13E93"/>
    <w:rsid w:val="00E141D2"/>
    <w:rsid w:val="00E14227"/>
    <w:rsid w:val="00E1439B"/>
    <w:rsid w:val="00E22850"/>
    <w:rsid w:val="00E23842"/>
    <w:rsid w:val="00E249F3"/>
    <w:rsid w:val="00E37B35"/>
    <w:rsid w:val="00E444E9"/>
    <w:rsid w:val="00E463C5"/>
    <w:rsid w:val="00E4718E"/>
    <w:rsid w:val="00E51448"/>
    <w:rsid w:val="00E51ED5"/>
    <w:rsid w:val="00E55AAE"/>
    <w:rsid w:val="00E6303D"/>
    <w:rsid w:val="00E668EF"/>
    <w:rsid w:val="00E67393"/>
    <w:rsid w:val="00E67FEF"/>
    <w:rsid w:val="00E7655F"/>
    <w:rsid w:val="00E8451F"/>
    <w:rsid w:val="00E8592F"/>
    <w:rsid w:val="00E918DE"/>
    <w:rsid w:val="00E9221B"/>
    <w:rsid w:val="00E927CD"/>
    <w:rsid w:val="00E93F46"/>
    <w:rsid w:val="00E9460C"/>
    <w:rsid w:val="00E949D4"/>
    <w:rsid w:val="00E97612"/>
    <w:rsid w:val="00EA2B7E"/>
    <w:rsid w:val="00EB092A"/>
    <w:rsid w:val="00EC060E"/>
    <w:rsid w:val="00EC3FDB"/>
    <w:rsid w:val="00EC7BD9"/>
    <w:rsid w:val="00ED2B72"/>
    <w:rsid w:val="00ED7F2E"/>
    <w:rsid w:val="00EE30CB"/>
    <w:rsid w:val="00EE4A95"/>
    <w:rsid w:val="00EF10AB"/>
    <w:rsid w:val="00EF5852"/>
    <w:rsid w:val="00EF58FE"/>
    <w:rsid w:val="00EF5CA4"/>
    <w:rsid w:val="00F00F18"/>
    <w:rsid w:val="00F02ADA"/>
    <w:rsid w:val="00F02FB0"/>
    <w:rsid w:val="00F068C8"/>
    <w:rsid w:val="00F07C74"/>
    <w:rsid w:val="00F17949"/>
    <w:rsid w:val="00F21652"/>
    <w:rsid w:val="00F31043"/>
    <w:rsid w:val="00F31F24"/>
    <w:rsid w:val="00F331CB"/>
    <w:rsid w:val="00F35B95"/>
    <w:rsid w:val="00F40385"/>
    <w:rsid w:val="00F41F5F"/>
    <w:rsid w:val="00F46B71"/>
    <w:rsid w:val="00F507A9"/>
    <w:rsid w:val="00F752FD"/>
    <w:rsid w:val="00F76BB0"/>
    <w:rsid w:val="00F83BA0"/>
    <w:rsid w:val="00F9718F"/>
    <w:rsid w:val="00FA5EE9"/>
    <w:rsid w:val="00FB0E9F"/>
    <w:rsid w:val="00FB3840"/>
    <w:rsid w:val="00FB4704"/>
    <w:rsid w:val="00FB5273"/>
    <w:rsid w:val="00FC3677"/>
    <w:rsid w:val="00FD07BE"/>
    <w:rsid w:val="00FD0C6E"/>
    <w:rsid w:val="00FD5559"/>
    <w:rsid w:val="00FF0774"/>
    <w:rsid w:val="00FF2E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58FA6"/>
  <w15:chartTrackingRefBased/>
  <w15:docId w15:val="{61875165-1ABA-4889-966B-FF434031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rtificate"/>
    <w:qFormat/>
    <w:rsid w:val="00B55A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558"/>
    <w:pPr>
      <w:tabs>
        <w:tab w:val="center" w:pos="4536"/>
        <w:tab w:val="right" w:pos="9072"/>
      </w:tabs>
    </w:pPr>
  </w:style>
  <w:style w:type="character" w:customStyle="1" w:styleId="HeaderChar">
    <w:name w:val="Header Char"/>
    <w:basedOn w:val="DefaultParagraphFont"/>
    <w:link w:val="Header"/>
    <w:uiPriority w:val="99"/>
    <w:rsid w:val="00364558"/>
    <w:rPr>
      <w:rFonts w:ascii="Calibri" w:hAnsi="Calibri" w:cs="Times New Roman"/>
    </w:rPr>
  </w:style>
  <w:style w:type="paragraph" w:styleId="Footer">
    <w:name w:val="footer"/>
    <w:basedOn w:val="Normal"/>
    <w:link w:val="FooterChar"/>
    <w:uiPriority w:val="99"/>
    <w:unhideWhenUsed/>
    <w:rsid w:val="00364558"/>
    <w:pPr>
      <w:tabs>
        <w:tab w:val="center" w:pos="4536"/>
        <w:tab w:val="right" w:pos="9072"/>
      </w:tabs>
    </w:pPr>
  </w:style>
  <w:style w:type="character" w:customStyle="1" w:styleId="FooterChar">
    <w:name w:val="Footer Char"/>
    <w:basedOn w:val="DefaultParagraphFont"/>
    <w:link w:val="Footer"/>
    <w:uiPriority w:val="99"/>
    <w:rsid w:val="00364558"/>
    <w:rPr>
      <w:rFonts w:ascii="Calibri" w:hAnsi="Calibri" w:cs="Times New Roman"/>
    </w:rPr>
  </w:style>
  <w:style w:type="paragraph" w:styleId="BalloonText">
    <w:name w:val="Balloon Text"/>
    <w:basedOn w:val="Normal"/>
    <w:link w:val="BalloonTextChar"/>
    <w:uiPriority w:val="99"/>
    <w:semiHidden/>
    <w:unhideWhenUsed/>
    <w:rsid w:val="00C55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F9"/>
    <w:rPr>
      <w:rFonts w:ascii="Segoe UI" w:hAnsi="Segoe UI" w:cs="Segoe UI"/>
      <w:sz w:val="18"/>
      <w:szCs w:val="18"/>
    </w:rPr>
  </w:style>
  <w:style w:type="paragraph" w:styleId="NormalWeb">
    <w:name w:val="Normal (Web)"/>
    <w:basedOn w:val="Normal"/>
    <w:uiPriority w:val="99"/>
    <w:semiHidden/>
    <w:unhideWhenUsed/>
    <w:rsid w:val="00153F3F"/>
    <w:pPr>
      <w:spacing w:before="100" w:beforeAutospacing="1" w:after="100" w:afterAutospacing="1"/>
    </w:pPr>
    <w:rPr>
      <w:rFonts w:ascii="Times New Roman" w:eastAsia="Times New Roman" w:hAnsi="Times New Roman"/>
      <w:sz w:val="24"/>
      <w:szCs w:val="24"/>
      <w:lang w:eastAsia="hr-HR"/>
    </w:rPr>
  </w:style>
  <w:style w:type="table" w:customStyle="1" w:styleId="TableGrid1">
    <w:name w:val="Table Grid1"/>
    <w:basedOn w:val="TableNormal"/>
    <w:next w:val="TableGrid"/>
    <w:uiPriority w:val="39"/>
    <w:rsid w:val="007B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20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12</Pages>
  <Words>4658</Words>
  <Characters>26552</Characters>
  <Application>Microsoft Office Word</Application>
  <DocSecurity>0</DocSecurity>
  <Lines>221</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Sočković</dc:creator>
  <cp:keywords/>
  <dc:description/>
  <cp:lastModifiedBy>Ivana Ravlić</cp:lastModifiedBy>
  <cp:revision>170</cp:revision>
  <cp:lastPrinted>2023-10-04T13:39:00Z</cp:lastPrinted>
  <dcterms:created xsi:type="dcterms:W3CDTF">2023-10-04T10:04:00Z</dcterms:created>
  <dcterms:modified xsi:type="dcterms:W3CDTF">2023-12-13T12:51:00Z</dcterms:modified>
</cp:coreProperties>
</file>