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D11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85FE8C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6272AF9A" w14:textId="30250FC0" w:rsidR="00B55A24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A41B8D">
        <w:rPr>
          <w:rFonts w:cs="Calibri"/>
          <w:b/>
          <w:bCs/>
          <w:sz w:val="24"/>
          <w:szCs w:val="24"/>
        </w:rPr>
        <w:t>FILOZOFSKI FAKULTET</w:t>
      </w:r>
    </w:p>
    <w:p w14:paraId="18DA0089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64C78A73" w14:textId="7E533BB1" w:rsidR="00A81F0E" w:rsidRDefault="005F08CC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3</w:t>
      </w:r>
    </w:p>
    <w:p w14:paraId="56174002" w14:textId="7C930FAE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0CD7D0C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54FF6B96" w14:textId="5643127F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</w:t>
      </w:r>
      <w:r w:rsidR="005F08CC">
        <w:rPr>
          <w:rFonts w:cs="Calibri"/>
          <w:b/>
          <w:bCs/>
          <w:sz w:val="24"/>
          <w:szCs w:val="24"/>
        </w:rPr>
        <w:t xml:space="preserve"> 90633715804</w:t>
      </w:r>
    </w:p>
    <w:p w14:paraId="65CF31AE" w14:textId="04B42F50" w:rsidR="007A41A7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RKP: </w:t>
      </w:r>
      <w:r w:rsidR="005F08CC">
        <w:rPr>
          <w:rFonts w:cs="Calibri"/>
          <w:b/>
          <w:bCs/>
          <w:sz w:val="24"/>
          <w:szCs w:val="24"/>
        </w:rPr>
        <w:t>1958</w:t>
      </w:r>
    </w:p>
    <w:p w14:paraId="58B1D86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9C7820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5D3BFC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7DD26C2" w14:textId="77777777" w:rsidR="00B55A24" w:rsidRDefault="00B55A24" w:rsidP="00AA0DE8">
      <w:pPr>
        <w:rPr>
          <w:rFonts w:cs="Calibri"/>
          <w:b/>
          <w:bCs/>
          <w:sz w:val="24"/>
          <w:szCs w:val="24"/>
        </w:rPr>
      </w:pPr>
    </w:p>
    <w:p w14:paraId="1826C627" w14:textId="77777777" w:rsidR="00AF1A8C" w:rsidRDefault="007B5742" w:rsidP="007B5742">
      <w:pPr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7B5742">
        <w:rPr>
          <w:rFonts w:ascii="Times New Roman" w:eastAsia="Arial" w:hAnsi="Times New Roman"/>
          <w:b/>
          <w:bCs/>
          <w:sz w:val="24"/>
          <w:szCs w:val="24"/>
        </w:rPr>
        <w:t>OBRAZLOŽENJE POSEBNOG DIJELA FINANCIJSKOG PLANA</w:t>
      </w:r>
    </w:p>
    <w:p w14:paraId="01F1B0C8" w14:textId="08E846D8" w:rsidR="007B5742" w:rsidRPr="007B5742" w:rsidRDefault="007B5742" w:rsidP="007B5742">
      <w:pPr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7B5742">
        <w:rPr>
          <w:rFonts w:ascii="Times New Roman" w:eastAsia="Arial" w:hAnsi="Times New Roman"/>
          <w:b/>
          <w:bCs/>
          <w:sz w:val="24"/>
          <w:szCs w:val="24"/>
        </w:rPr>
        <w:t xml:space="preserve"> ZA 202</w:t>
      </w:r>
      <w:r w:rsidR="005C09C5">
        <w:rPr>
          <w:rFonts w:ascii="Times New Roman" w:eastAsia="Arial" w:hAnsi="Times New Roman"/>
          <w:b/>
          <w:bCs/>
          <w:sz w:val="24"/>
          <w:szCs w:val="24"/>
        </w:rPr>
        <w:t>6</w:t>
      </w:r>
      <w:r w:rsidRPr="007B5742">
        <w:rPr>
          <w:rFonts w:ascii="Times New Roman" w:eastAsia="Arial" w:hAnsi="Times New Roman"/>
          <w:b/>
          <w:bCs/>
          <w:sz w:val="24"/>
          <w:szCs w:val="24"/>
        </w:rPr>
        <w:t>. - 202</w:t>
      </w:r>
      <w:r w:rsidR="005C09C5">
        <w:rPr>
          <w:rFonts w:ascii="Times New Roman" w:eastAsia="Arial" w:hAnsi="Times New Roman"/>
          <w:b/>
          <w:bCs/>
          <w:sz w:val="24"/>
          <w:szCs w:val="24"/>
        </w:rPr>
        <w:t>8</w:t>
      </w:r>
      <w:r w:rsidRPr="007B5742">
        <w:rPr>
          <w:rFonts w:ascii="Times New Roman" w:eastAsia="Arial" w:hAnsi="Times New Roman"/>
          <w:b/>
          <w:bCs/>
          <w:sz w:val="24"/>
          <w:szCs w:val="24"/>
        </w:rPr>
        <w:t>. GODIN</w:t>
      </w:r>
      <w:r w:rsidR="001B2BFB">
        <w:rPr>
          <w:rFonts w:ascii="Times New Roman" w:eastAsia="Arial" w:hAnsi="Times New Roman"/>
          <w:b/>
          <w:bCs/>
          <w:sz w:val="24"/>
          <w:szCs w:val="24"/>
        </w:rPr>
        <w:t>U</w:t>
      </w:r>
    </w:p>
    <w:p w14:paraId="30178A73" w14:textId="77777777" w:rsidR="007B5742" w:rsidRPr="007B5742" w:rsidRDefault="007B5742" w:rsidP="007B5742">
      <w:pPr>
        <w:rPr>
          <w:rFonts w:ascii="Times New Roman" w:eastAsia="Arial" w:hAnsi="Times New Roman"/>
          <w:b/>
          <w:bCs/>
        </w:rPr>
      </w:pPr>
    </w:p>
    <w:p w14:paraId="1227348D" w14:textId="77777777" w:rsidR="007B5742" w:rsidRPr="007B5742" w:rsidRDefault="007B5742" w:rsidP="007B5742">
      <w:pPr>
        <w:rPr>
          <w:rFonts w:ascii="Times New Roman" w:eastAsia="Arial" w:hAnsi="Times New Roman"/>
          <w:b/>
          <w:bCs/>
        </w:rPr>
      </w:pPr>
    </w:p>
    <w:p w14:paraId="4AD6E5CE" w14:textId="77777777" w:rsidR="007B5742" w:rsidRDefault="007B5742" w:rsidP="007B5742">
      <w:pPr>
        <w:rPr>
          <w:rFonts w:ascii="Times New Roman" w:eastAsia="Arial" w:hAnsi="Times New Roman"/>
          <w:b/>
          <w:bCs/>
        </w:rPr>
      </w:pPr>
    </w:p>
    <w:p w14:paraId="1117A1C8" w14:textId="77777777" w:rsidR="007B5742" w:rsidRPr="007B5742" w:rsidRDefault="007B5742" w:rsidP="007B5742">
      <w:pPr>
        <w:rPr>
          <w:rFonts w:ascii="Times New Roman" w:eastAsia="Arial" w:hAnsi="Times New Roman"/>
          <w:b/>
          <w:bCs/>
        </w:rPr>
      </w:pPr>
    </w:p>
    <w:p w14:paraId="313AF8F6" w14:textId="77777777" w:rsidR="007B5742" w:rsidRPr="007B5742" w:rsidRDefault="007B5742" w:rsidP="007B5742">
      <w:pPr>
        <w:rPr>
          <w:rFonts w:ascii="Times New Roman" w:eastAsia="Arial" w:hAnsi="Times New Roman"/>
          <w:b/>
          <w:bCs/>
        </w:rPr>
      </w:pPr>
    </w:p>
    <w:p w14:paraId="3E6DC923" w14:textId="77777777" w:rsidR="007B5742" w:rsidRPr="007B5742" w:rsidRDefault="007B5742" w:rsidP="007B5742">
      <w:pPr>
        <w:rPr>
          <w:rFonts w:ascii="Times New Roman" w:eastAsia="Arial" w:hAnsi="Times New Roman"/>
          <w:b/>
          <w:bCs/>
          <w:sz w:val="24"/>
          <w:szCs w:val="24"/>
        </w:rPr>
      </w:pPr>
      <w:r w:rsidRPr="007B5742">
        <w:rPr>
          <w:rFonts w:ascii="Times New Roman" w:eastAsia="Arial" w:hAnsi="Times New Roman"/>
          <w:b/>
          <w:bCs/>
          <w:sz w:val="24"/>
          <w:szCs w:val="24"/>
        </w:rPr>
        <w:t>UVOD – SAŽETAK DJELOKRUGA RADA</w:t>
      </w:r>
    </w:p>
    <w:p w14:paraId="14CA2067" w14:textId="77777777" w:rsidR="007B5742" w:rsidRPr="007B5742" w:rsidRDefault="007B5742" w:rsidP="007B5742">
      <w:pPr>
        <w:rPr>
          <w:rFonts w:ascii="Times New Roman" w:eastAsia="Arial" w:hAnsi="Times New Roman"/>
          <w:b/>
          <w:bCs/>
        </w:rPr>
      </w:pPr>
    </w:p>
    <w:p w14:paraId="2949DD58" w14:textId="77777777" w:rsidR="007B5742" w:rsidRPr="007B5742" w:rsidRDefault="007B5742" w:rsidP="007B5742">
      <w:pPr>
        <w:rPr>
          <w:rFonts w:ascii="Times New Roman" w:eastAsia="Arial" w:hAnsi="Times New Roman"/>
          <w:b/>
          <w:bCs/>
        </w:rPr>
      </w:pPr>
    </w:p>
    <w:p w14:paraId="11BD4F37" w14:textId="77777777" w:rsidR="007B5742" w:rsidRPr="007B5742" w:rsidRDefault="007B5742" w:rsidP="007B5742">
      <w:pPr>
        <w:rPr>
          <w:rFonts w:ascii="Times New Roman" w:eastAsia="Arial" w:hAnsi="Times New Roman"/>
          <w:b/>
          <w:bCs/>
        </w:rPr>
      </w:pPr>
    </w:p>
    <w:p w14:paraId="2694A715" w14:textId="63808428" w:rsidR="007B5742" w:rsidRPr="007B5742" w:rsidRDefault="007B5742" w:rsidP="007B5742">
      <w:pPr>
        <w:spacing w:after="160" w:line="276" w:lineRule="auto"/>
        <w:ind w:firstLine="360"/>
        <w:jc w:val="both"/>
        <w:rPr>
          <w:rFonts w:ascii="Times New Roman" w:eastAsia="Yu Mincho" w:hAnsi="Times New Roman"/>
          <w:sz w:val="24"/>
          <w:szCs w:val="24"/>
        </w:rPr>
      </w:pPr>
      <w:r w:rsidRPr="007B5742">
        <w:rPr>
          <w:rFonts w:ascii="Times New Roman" w:eastAsia="Yu Mincho" w:hAnsi="Times New Roman"/>
          <w:bCs/>
          <w:sz w:val="24"/>
          <w:szCs w:val="24"/>
        </w:rPr>
        <w:t>Djelatnosti Fakulteta:</w:t>
      </w:r>
      <w:r w:rsidRPr="007B5742">
        <w:rPr>
          <w:rFonts w:ascii="Times New Roman" w:eastAsia="Yu Mincho" w:hAnsi="Times New Roman"/>
          <w:sz w:val="24"/>
          <w:szCs w:val="24"/>
        </w:rPr>
        <w:t xml:space="preserve"> obrazovanje studenata na pr</w:t>
      </w:r>
      <w:r w:rsidR="00C30A89">
        <w:rPr>
          <w:rFonts w:ascii="Times New Roman" w:eastAsia="Yu Mincho" w:hAnsi="Times New Roman"/>
          <w:sz w:val="24"/>
          <w:szCs w:val="24"/>
        </w:rPr>
        <w:t>ijed</w:t>
      </w:r>
      <w:r w:rsidRPr="007B5742">
        <w:rPr>
          <w:rFonts w:ascii="Times New Roman" w:eastAsia="Yu Mincho" w:hAnsi="Times New Roman"/>
          <w:sz w:val="24"/>
          <w:szCs w:val="24"/>
        </w:rPr>
        <w:t xml:space="preserve">iplomskom, diplomskom i </w:t>
      </w:r>
      <w:r w:rsidR="00C30A89">
        <w:rPr>
          <w:rFonts w:ascii="Times New Roman" w:eastAsia="Yu Mincho" w:hAnsi="Times New Roman"/>
          <w:sz w:val="24"/>
          <w:szCs w:val="24"/>
        </w:rPr>
        <w:t xml:space="preserve">doktorskom sveučilišnom </w:t>
      </w:r>
      <w:r w:rsidRPr="007B5742">
        <w:rPr>
          <w:rFonts w:ascii="Times New Roman" w:eastAsia="Yu Mincho" w:hAnsi="Times New Roman"/>
          <w:sz w:val="24"/>
          <w:szCs w:val="24"/>
        </w:rPr>
        <w:t>studiju u znanstvenim područjima društvenih i humanističkih znanosti; stručno usavršavanje nastavnika; znanstveno-istraživačka djelatnost; izrada i provedba znanstvenih, istraživačkih i stručnih projekata;  provedba postupka izbora u odgovarajuća zvanja u skladu sa Zakonom i drugim propisima;  obrazovanje odraslih;  izdavaštvo i pružanje usluga trgovačkim društvima i drugim organizacijama kada to služi razvoju osnovne djelatnosti.</w:t>
      </w:r>
    </w:p>
    <w:p w14:paraId="2FDA89A7" w14:textId="6A2D19DE" w:rsidR="007B5742" w:rsidRPr="007B5742" w:rsidRDefault="007B5742" w:rsidP="007B5742">
      <w:pPr>
        <w:spacing w:line="276" w:lineRule="auto"/>
        <w:jc w:val="both"/>
        <w:rPr>
          <w:rFonts w:eastAsia="Arial" w:cs="Calibri"/>
          <w:b/>
          <w:bCs/>
        </w:rPr>
      </w:pPr>
      <w:r w:rsidRPr="007B5742">
        <w:rPr>
          <w:rFonts w:ascii="Times New Roman" w:eastAsia="Yu Mincho" w:hAnsi="Times New Roman"/>
          <w:sz w:val="24"/>
          <w:szCs w:val="24"/>
        </w:rPr>
        <w:t>Naši se studenti obrazuju za preuzimanje odgovornih uloga u društvu kao što su  nastavničke, istraživačke,  kulture i stručne.</w:t>
      </w:r>
      <w:r w:rsidRPr="007B5742">
        <w:rPr>
          <w:rFonts w:eastAsia="Arial" w:cs="Calibri"/>
          <w:b/>
          <w:bCs/>
        </w:rPr>
        <w:t xml:space="preserve"> </w:t>
      </w:r>
      <w:r w:rsidRPr="007B5742">
        <w:rPr>
          <w:rFonts w:ascii="Times New Roman" w:eastAsia="Yu Mincho" w:hAnsi="Times New Roman"/>
          <w:sz w:val="24"/>
          <w:szCs w:val="24"/>
        </w:rPr>
        <w:t>Proces se vodi načelima podučavanja temeljenog na istraživanju, otvorenosti i etičnosti. Integrirani smo u europski istraživački prostor. Time mladim istraživačima omogućavamo pristup naprednim tehnologijama i vještinama. Sveučilišne studije izvodimo na svim trima razinama visokog obrazovanja: pr</w:t>
      </w:r>
      <w:r w:rsidR="00C30A89">
        <w:rPr>
          <w:rFonts w:ascii="Times New Roman" w:eastAsia="Yu Mincho" w:hAnsi="Times New Roman"/>
          <w:sz w:val="24"/>
          <w:szCs w:val="24"/>
        </w:rPr>
        <w:t>ije</w:t>
      </w:r>
      <w:r w:rsidRPr="007B5742">
        <w:rPr>
          <w:rFonts w:ascii="Times New Roman" w:eastAsia="Yu Mincho" w:hAnsi="Times New Roman"/>
          <w:sz w:val="24"/>
          <w:szCs w:val="24"/>
        </w:rPr>
        <w:t>diplomskoj, diplomskoj i d</w:t>
      </w:r>
      <w:r w:rsidR="00C30A89">
        <w:rPr>
          <w:rFonts w:ascii="Times New Roman" w:eastAsia="Yu Mincho" w:hAnsi="Times New Roman"/>
          <w:sz w:val="24"/>
          <w:szCs w:val="24"/>
        </w:rPr>
        <w:t>oktorskoj</w:t>
      </w:r>
      <w:r w:rsidRPr="007B5742">
        <w:rPr>
          <w:rFonts w:ascii="Times New Roman" w:eastAsia="Yu Mincho" w:hAnsi="Times New Roman"/>
          <w:sz w:val="24"/>
          <w:szCs w:val="24"/>
        </w:rPr>
        <w:t xml:space="preserve">. Trenutno se izvode </w:t>
      </w:r>
      <w:r w:rsidR="005C09C5">
        <w:rPr>
          <w:rFonts w:ascii="Times New Roman" w:eastAsia="Yu Mincho" w:hAnsi="Times New Roman"/>
          <w:sz w:val="24"/>
          <w:szCs w:val="24"/>
        </w:rPr>
        <w:t>145</w:t>
      </w:r>
      <w:r w:rsidRPr="007B5742">
        <w:rPr>
          <w:rFonts w:ascii="Times New Roman" w:eastAsia="Yu Mincho" w:hAnsi="Times New Roman"/>
          <w:sz w:val="24"/>
          <w:szCs w:val="24"/>
        </w:rPr>
        <w:t xml:space="preserve"> </w:t>
      </w:r>
      <w:bookmarkStart w:id="0" w:name="_Hlk213757509"/>
      <w:r w:rsidRPr="007B5742">
        <w:rPr>
          <w:rFonts w:ascii="Times New Roman" w:eastAsia="Yu Mincho" w:hAnsi="Times New Roman"/>
          <w:sz w:val="24"/>
          <w:szCs w:val="24"/>
        </w:rPr>
        <w:t>sveučilišna stud</w:t>
      </w:r>
      <w:r w:rsidR="005C09C5">
        <w:rPr>
          <w:rFonts w:ascii="Times New Roman" w:eastAsia="Yu Mincho" w:hAnsi="Times New Roman"/>
          <w:sz w:val="24"/>
          <w:szCs w:val="24"/>
        </w:rPr>
        <w:t>ijska</w:t>
      </w:r>
      <w:r w:rsidRPr="007B5742">
        <w:rPr>
          <w:rFonts w:ascii="Times New Roman" w:eastAsia="Yu Mincho" w:hAnsi="Times New Roman"/>
          <w:sz w:val="24"/>
          <w:szCs w:val="24"/>
        </w:rPr>
        <w:t xml:space="preserve"> programa</w:t>
      </w:r>
      <w:bookmarkEnd w:id="0"/>
      <w:r w:rsidRPr="007B5742">
        <w:rPr>
          <w:rFonts w:ascii="Times New Roman" w:eastAsia="Yu Mincho" w:hAnsi="Times New Roman"/>
          <w:sz w:val="24"/>
          <w:szCs w:val="24"/>
        </w:rPr>
        <w:t>, te 1</w:t>
      </w:r>
      <w:r w:rsidR="005C09C5">
        <w:rPr>
          <w:rFonts w:ascii="Times New Roman" w:eastAsia="Yu Mincho" w:hAnsi="Times New Roman"/>
          <w:sz w:val="24"/>
          <w:szCs w:val="24"/>
        </w:rPr>
        <w:t>5</w:t>
      </w:r>
      <w:r w:rsidRPr="007B5742">
        <w:rPr>
          <w:rFonts w:ascii="Times New Roman" w:eastAsia="Yu Mincho" w:hAnsi="Times New Roman"/>
          <w:sz w:val="24"/>
          <w:szCs w:val="24"/>
        </w:rPr>
        <w:t xml:space="preserve"> doktorskih studija i </w:t>
      </w:r>
      <w:r w:rsidR="007244C3">
        <w:rPr>
          <w:rFonts w:ascii="Times New Roman" w:eastAsia="Yu Mincho" w:hAnsi="Times New Roman"/>
          <w:sz w:val="24"/>
          <w:szCs w:val="24"/>
        </w:rPr>
        <w:t>2</w:t>
      </w:r>
      <w:r w:rsidRPr="007B5742">
        <w:rPr>
          <w:rFonts w:ascii="Times New Roman" w:eastAsia="Yu Mincho" w:hAnsi="Times New Roman"/>
          <w:sz w:val="24"/>
          <w:szCs w:val="24"/>
        </w:rPr>
        <w:t xml:space="preserve"> </w:t>
      </w:r>
      <w:r w:rsidR="007244C3">
        <w:rPr>
          <w:rFonts w:ascii="Times New Roman" w:eastAsia="Yu Mincho" w:hAnsi="Times New Roman"/>
          <w:sz w:val="24"/>
          <w:szCs w:val="24"/>
        </w:rPr>
        <w:t xml:space="preserve">sveučilišna </w:t>
      </w:r>
      <w:r w:rsidRPr="007B5742">
        <w:rPr>
          <w:rFonts w:ascii="Times New Roman" w:eastAsia="Yu Mincho" w:hAnsi="Times New Roman"/>
          <w:sz w:val="24"/>
          <w:szCs w:val="24"/>
        </w:rPr>
        <w:t>specijalističk</w:t>
      </w:r>
      <w:r w:rsidR="007244C3">
        <w:rPr>
          <w:rFonts w:ascii="Times New Roman" w:eastAsia="Yu Mincho" w:hAnsi="Times New Roman"/>
          <w:sz w:val="24"/>
          <w:szCs w:val="24"/>
        </w:rPr>
        <w:t>a</w:t>
      </w:r>
      <w:r w:rsidRPr="007B5742">
        <w:rPr>
          <w:rFonts w:ascii="Times New Roman" w:eastAsia="Yu Mincho" w:hAnsi="Times New Roman"/>
          <w:sz w:val="24"/>
          <w:szCs w:val="24"/>
        </w:rPr>
        <w:t xml:space="preserve"> studija. </w:t>
      </w:r>
    </w:p>
    <w:p w14:paraId="6DDF87E8" w14:textId="77777777" w:rsidR="007B5742" w:rsidRPr="007B5742" w:rsidRDefault="007B5742" w:rsidP="007B5742">
      <w:pPr>
        <w:spacing w:line="276" w:lineRule="auto"/>
        <w:rPr>
          <w:rFonts w:eastAsia="Arial" w:cs="Calibri"/>
          <w:b/>
          <w:bCs/>
        </w:rPr>
      </w:pPr>
    </w:p>
    <w:p w14:paraId="336DD0FC" w14:textId="77777777" w:rsidR="007B5742" w:rsidRPr="007B5742" w:rsidRDefault="007B5742" w:rsidP="007B5742">
      <w:pPr>
        <w:spacing w:line="276" w:lineRule="auto"/>
        <w:jc w:val="both"/>
        <w:rPr>
          <w:rFonts w:ascii="Times New Roman" w:eastAsia="Yu Mincho" w:hAnsi="Times New Roman"/>
          <w:sz w:val="24"/>
          <w:szCs w:val="24"/>
        </w:rPr>
      </w:pPr>
      <w:r w:rsidRPr="007B5742">
        <w:rPr>
          <w:rFonts w:ascii="Times New Roman" w:eastAsia="Yu Mincho" w:hAnsi="Times New Roman"/>
          <w:sz w:val="24"/>
          <w:szCs w:val="24"/>
        </w:rPr>
        <w:t>Ciljevi programa cjeloživotnog učenja jesu ponuditi različite programe obrazovanja odraslih : od pojedinačnih modula preko tečajeva i specijalističkih studija do mogućnosti upisivanja cjelovitih studijskih programa. Važno je provoditi programe za psihološko, didaktičko-metodičko, andragoško i stručno dodatno cjeloživotno obrazovanje i osposobljavanje postojećih i budućih odgojitelja, učitelja, nastavnika i stručnih suradnika (savjetnika, mentora i trenera) koji rade u sustavu obrazovanja odraslih.</w:t>
      </w:r>
    </w:p>
    <w:p w14:paraId="16F71736" w14:textId="77777777" w:rsidR="007B5742" w:rsidRPr="007B5742" w:rsidRDefault="007B5742" w:rsidP="007B5742">
      <w:pPr>
        <w:rPr>
          <w:rFonts w:eastAsia="Arial"/>
          <w:b/>
          <w:sz w:val="24"/>
          <w:szCs w:val="24"/>
        </w:rPr>
      </w:pPr>
    </w:p>
    <w:p w14:paraId="204226EB" w14:textId="77777777" w:rsidR="007B5742" w:rsidRPr="007B5742" w:rsidRDefault="007B5742" w:rsidP="007B5742">
      <w:pPr>
        <w:rPr>
          <w:rFonts w:eastAsia="Arial"/>
          <w:b/>
          <w:sz w:val="24"/>
          <w:szCs w:val="24"/>
        </w:rPr>
      </w:pPr>
    </w:p>
    <w:p w14:paraId="24DBD6F8" w14:textId="77777777" w:rsidR="007B5742" w:rsidRPr="007B5742" w:rsidRDefault="007B5742" w:rsidP="007B5742">
      <w:pPr>
        <w:rPr>
          <w:rFonts w:eastAsia="Arial"/>
          <w:b/>
          <w:sz w:val="24"/>
          <w:szCs w:val="24"/>
        </w:rPr>
      </w:pPr>
    </w:p>
    <w:p w14:paraId="328C077F" w14:textId="77777777" w:rsidR="007B5742" w:rsidRDefault="007B5742" w:rsidP="007B5742">
      <w:pPr>
        <w:spacing w:after="176" w:line="252" w:lineRule="auto"/>
        <w:ind w:left="326" w:right="4"/>
        <w:jc w:val="both"/>
        <w:rPr>
          <w:rFonts w:eastAsia="Arial"/>
          <w:b/>
          <w:sz w:val="24"/>
          <w:szCs w:val="24"/>
        </w:rPr>
      </w:pPr>
    </w:p>
    <w:p w14:paraId="284ADE9A" w14:textId="553BEB12" w:rsidR="00110F64" w:rsidRPr="00110F64" w:rsidRDefault="00110F64" w:rsidP="00C66E25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/>
          <w:sz w:val="24"/>
          <w:szCs w:val="24"/>
        </w:rPr>
      </w:pPr>
      <w:r w:rsidRPr="00110F64">
        <w:rPr>
          <w:rFonts w:ascii="Times New Roman" w:eastAsia="Arial" w:hAnsi="Times New Roman"/>
          <w:b/>
          <w:i/>
          <w:sz w:val="24"/>
          <w:szCs w:val="24"/>
        </w:rPr>
        <w:lastRenderedPageBreak/>
        <w:t>A</w:t>
      </w:r>
      <w:r w:rsidR="00FE0ABD" w:rsidRPr="00FE0ABD">
        <w:rPr>
          <w:rFonts w:ascii="Times New Roman" w:eastAsia="Arial" w:hAnsi="Times New Roman"/>
          <w:b/>
          <w:i/>
          <w:sz w:val="24"/>
          <w:szCs w:val="24"/>
        </w:rPr>
        <w:t>679134</w:t>
      </w:r>
      <w:r w:rsidRPr="00110F64">
        <w:rPr>
          <w:rFonts w:ascii="Times New Roman" w:eastAsia="Arial" w:hAnsi="Times New Roman"/>
          <w:b/>
          <w:i/>
          <w:sz w:val="24"/>
          <w:szCs w:val="24"/>
        </w:rPr>
        <w:t xml:space="preserve"> </w:t>
      </w:r>
      <w:r w:rsidR="00FE0ABD" w:rsidRPr="00FE0ABD">
        <w:rPr>
          <w:rFonts w:ascii="Times New Roman" w:eastAsia="Arial" w:hAnsi="Times New Roman"/>
          <w:b/>
          <w:i/>
          <w:sz w:val="24"/>
          <w:szCs w:val="24"/>
        </w:rPr>
        <w:t>'PROGRAMSKO FINANCIRANJE JAVNIH VISOKIH UČILIŠTA 2025. - 2029.</w:t>
      </w:r>
    </w:p>
    <w:p w14:paraId="1823160A" w14:textId="77777777" w:rsidR="00DE1394" w:rsidRDefault="00DE1394" w:rsidP="00110F64">
      <w:pPr>
        <w:spacing w:after="176" w:line="252" w:lineRule="auto"/>
        <w:ind w:left="326"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</w:p>
    <w:p w14:paraId="56791EAD" w14:textId="15114AE3" w:rsidR="00110F64" w:rsidRPr="00DE1394" w:rsidRDefault="00110F64" w:rsidP="00C66E25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 w:rsidRPr="00DE1394">
        <w:rPr>
          <w:rFonts w:ascii="Times New Roman" w:eastAsia="Arial" w:hAnsi="Times New Roman"/>
          <w:bCs/>
          <w:iCs/>
          <w:sz w:val="24"/>
          <w:szCs w:val="24"/>
        </w:rPr>
        <w:t>Zakonske i druge pravne osnove:</w:t>
      </w:r>
    </w:p>
    <w:p w14:paraId="7F9AA497" w14:textId="4BA61DB8" w:rsidR="00110F64" w:rsidRDefault="00110F64" w:rsidP="00C66E25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 w:rsidRPr="00DE1394">
        <w:rPr>
          <w:rFonts w:ascii="Times New Roman" w:eastAsia="Arial" w:hAnsi="Times New Roman"/>
          <w:bCs/>
          <w:iCs/>
          <w:sz w:val="24"/>
          <w:szCs w:val="24"/>
        </w:rPr>
        <w:t>Zakon o ustanovama, Zakon o znanstvenoj djelatnosti i visokom obrazovanju, Zakon o proračunu, Zakon o javnoj nabavi, Zakon o porezu na dodanu vrijednost, Pravilnik o planiranju u sustavu proračuna, Pravilnik o proračunskom računovodstvu i Računskom planu, Pravilnik o proračunskim klasifikacijama, Pravilnik o korištenju sredstava Europske unije, Uredba o nazivima radnih mjesta, uvjetima za raspored i koeficijentima za obračun plaće u javnim službama, Pravilnik o financijskom izvještavanju u proračunskom računovodstvu, Temeljni kolektivni ugovor za službenike i namještenike u javnim službama, Kolektivni ugovor za znanost i visoko obrazovanje, te drugi zakonski propisi koji uređuju područje i djelokrug rada Stomatološkog fakulteta, Upute za izradu financijskog plana razdjela 080 – Ministarstvo znanosti, obrazovanja i mladih  za razdoblje 2026. – 2028., Upute za izradu prijedloga financijskog plana Sveučilišta u Zagrebu za razdoblje 2026. – 2028.</w:t>
      </w:r>
    </w:p>
    <w:p w14:paraId="3ECEFFE0" w14:textId="77777777" w:rsidR="004A7200" w:rsidRPr="00DE1394" w:rsidRDefault="004A7200" w:rsidP="00C66E25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110"/>
        <w:gridCol w:w="1296"/>
        <w:gridCol w:w="1360"/>
        <w:gridCol w:w="1596"/>
        <w:gridCol w:w="1596"/>
        <w:gridCol w:w="1596"/>
        <w:gridCol w:w="1117"/>
      </w:tblGrid>
      <w:tr w:rsidR="00DE1394" w:rsidRPr="00DE1394" w14:paraId="78E5AB8E" w14:textId="77777777" w:rsidTr="00802A3F">
        <w:trPr>
          <w:trHeight w:val="73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DA785" w14:textId="77777777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046B9" w14:textId="77777777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Izvršenje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603E5" w14:textId="77777777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Plan 2025.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0361E" w14:textId="77777777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Plan 2026.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18F324" w14:textId="77777777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Plan 2027.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4888B" w14:textId="77777777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Plan 2028.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6F585" w14:textId="77777777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Indeks 26./25.</w:t>
            </w:r>
          </w:p>
        </w:tc>
      </w:tr>
      <w:tr w:rsidR="00DE1394" w:rsidRPr="00DE1394" w14:paraId="02EE3499" w14:textId="77777777" w:rsidTr="00802A3F">
        <w:trPr>
          <w:trHeight w:val="48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684A" w14:textId="4E852B8C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0A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="00FE0ABD" w:rsidRPr="00FE0AB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679134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A28C" w14:textId="1C4048C6" w:rsidR="00DE1394" w:rsidRPr="00DE1394" w:rsidRDefault="00DE1394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30.840.973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8929" w14:textId="750FBE26" w:rsidR="00DE1394" w:rsidRPr="00DE1394" w:rsidRDefault="00A26F92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F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717E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FE0ABD">
              <w:rPr>
                <w:rFonts w:ascii="Times New Roman" w:eastAsia="Times New Roman" w:hAnsi="Times New Roman"/>
                <w:sz w:val="24"/>
                <w:szCs w:val="24"/>
              </w:rPr>
              <w:t>130.655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BB7D" w14:textId="439FB220" w:rsidR="00DE1394" w:rsidRPr="00DE1394" w:rsidRDefault="00E50D2F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E0ABD">
              <w:rPr>
                <w:rFonts w:ascii="Times New Roman" w:eastAsia="Times New Roman" w:hAnsi="Times New Roman"/>
                <w:sz w:val="24"/>
                <w:szCs w:val="24"/>
              </w:rPr>
              <w:t>8.020.090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3A332" w14:textId="476E36EA" w:rsidR="00DE1394" w:rsidRPr="00DE1394" w:rsidRDefault="00A26F92" w:rsidP="00DE13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F9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E0ABD">
              <w:rPr>
                <w:rFonts w:ascii="Times New Roman" w:eastAsia="Times New Roman" w:hAnsi="Times New Roman"/>
                <w:sz w:val="24"/>
                <w:szCs w:val="24"/>
              </w:rPr>
              <w:t>0.325.545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8783" w14:textId="56A807C1" w:rsidR="00DE1394" w:rsidRPr="00DE1394" w:rsidRDefault="00FE0ABD" w:rsidP="00DE13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43.170.484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377F8" w14:textId="4A1797E1" w:rsidR="00DE1394" w:rsidRPr="00DE1394" w:rsidRDefault="00A24279" w:rsidP="00DE1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717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E0ABD">
              <w:rPr>
                <w:rFonts w:ascii="Times New Roman" w:eastAsia="Times New Roman" w:hAnsi="Times New Roman"/>
                <w:sz w:val="24"/>
                <w:szCs w:val="24"/>
              </w:rPr>
              <w:t>1,40</w:t>
            </w:r>
          </w:p>
        </w:tc>
      </w:tr>
    </w:tbl>
    <w:p w14:paraId="6AA93B93" w14:textId="1B21F995" w:rsidR="00110F64" w:rsidRDefault="00110F64" w:rsidP="00110F64">
      <w:pPr>
        <w:spacing w:after="176" w:line="252" w:lineRule="auto"/>
        <w:ind w:left="326" w:right="4"/>
        <w:jc w:val="both"/>
        <w:rPr>
          <w:rFonts w:ascii="Times New Roman" w:eastAsia="Arial" w:hAnsi="Times New Roman"/>
          <w:b/>
          <w:i/>
          <w:sz w:val="24"/>
          <w:szCs w:val="24"/>
        </w:rPr>
      </w:pPr>
    </w:p>
    <w:p w14:paraId="061AC7CF" w14:textId="2C004F28" w:rsidR="00A24279" w:rsidRDefault="00A24279" w:rsidP="00A24279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Programsko financiranje na teret izvora 11 - Opći prihodi i primici obuhvaća 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osnovnu, razvojnu i izvedbenu </w:t>
      </w:r>
      <w:r w:rsidRPr="00A24279">
        <w:rPr>
          <w:rFonts w:ascii="Times New Roman" w:eastAsia="Arial" w:hAnsi="Times New Roman"/>
          <w:bCs/>
          <w:iCs/>
          <w:sz w:val="24"/>
          <w:szCs w:val="24"/>
        </w:rPr>
        <w:t>komponent</w:t>
      </w:r>
      <w:r>
        <w:rPr>
          <w:rFonts w:ascii="Times New Roman" w:eastAsia="Arial" w:hAnsi="Times New Roman"/>
          <w:bCs/>
          <w:iCs/>
          <w:sz w:val="24"/>
          <w:szCs w:val="24"/>
        </w:rPr>
        <w:t>u.</w:t>
      </w:r>
    </w:p>
    <w:p w14:paraId="22E96BFA" w14:textId="49E32A34" w:rsidR="00C66E25" w:rsidRPr="0019327E" w:rsidRDefault="00C66E25" w:rsidP="00A24279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Cs/>
          <w:sz w:val="24"/>
          <w:szCs w:val="24"/>
        </w:rPr>
      </w:pPr>
      <w:r w:rsidRPr="0019327E">
        <w:rPr>
          <w:rFonts w:ascii="Times New Roman" w:eastAsia="Arial" w:hAnsi="Times New Roman"/>
          <w:b/>
          <w:iCs/>
          <w:sz w:val="24"/>
          <w:szCs w:val="24"/>
        </w:rPr>
        <w:t xml:space="preserve">Osnovna </w:t>
      </w:r>
      <w:r w:rsidR="0019327E" w:rsidRPr="0019327E">
        <w:rPr>
          <w:rFonts w:ascii="Times New Roman" w:eastAsia="Arial" w:hAnsi="Times New Roman"/>
          <w:b/>
          <w:iCs/>
          <w:sz w:val="24"/>
          <w:szCs w:val="24"/>
        </w:rPr>
        <w:t>proračunska komponenta</w:t>
      </w:r>
    </w:p>
    <w:p w14:paraId="02CDB88E" w14:textId="70E2F628" w:rsidR="00A24279" w:rsidRPr="00A24279" w:rsidRDefault="00A24279" w:rsidP="00A24279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Osnovna 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proračunska </w:t>
      </w: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komponenta </w:t>
      </w:r>
      <w:r w:rsidR="00710BBC">
        <w:rPr>
          <w:rFonts w:ascii="Times New Roman" w:eastAsia="Arial" w:hAnsi="Times New Roman"/>
          <w:bCs/>
          <w:iCs/>
          <w:sz w:val="24"/>
          <w:szCs w:val="24"/>
        </w:rPr>
        <w:t>koju čine plaće i materijalna prava, materijalni troškovi poslovanja, sredstva za tekuće i investicijsko održavanje, izdaci za obavljanje znanstvene i stručne djelatnosti, sredstva za znanstveno i stručno osposobljavanje i usavršavanje, izdaci za studenski standard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 xml:space="preserve"> i</w:t>
      </w:r>
      <w:r w:rsidR="00710BBC">
        <w:rPr>
          <w:rFonts w:ascii="Times New Roman" w:eastAsia="Arial" w:hAnsi="Times New Roman"/>
          <w:bCs/>
          <w:iCs/>
          <w:sz w:val="24"/>
          <w:szCs w:val="24"/>
        </w:rPr>
        <w:t xml:space="preserve"> sredstva za izdavačku djelatnost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>. P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lanirana 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>su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 u iznosu od 3</w:t>
      </w:r>
      <w:r w:rsidR="00E50D2F">
        <w:rPr>
          <w:rFonts w:ascii="Times New Roman" w:eastAsia="Arial" w:hAnsi="Times New Roman"/>
          <w:bCs/>
          <w:iCs/>
          <w:sz w:val="24"/>
          <w:szCs w:val="24"/>
        </w:rPr>
        <w:t>7.128.349</w:t>
      </w:r>
      <w:r w:rsidR="00710BBC">
        <w:rPr>
          <w:rFonts w:ascii="Times New Roman" w:eastAsia="Arial" w:hAnsi="Times New Roman"/>
          <w:bCs/>
          <w:iCs/>
          <w:sz w:val="24"/>
          <w:szCs w:val="24"/>
        </w:rPr>
        <w:t xml:space="preserve"> eura</w:t>
      </w:r>
      <w:r w:rsidR="00355332" w:rsidRPr="00355332">
        <w:rPr>
          <w:rFonts w:ascii="Times New Roman" w:eastAsia="Arial" w:hAnsi="Times New Roman"/>
          <w:bCs/>
          <w:iCs/>
          <w:sz w:val="24"/>
          <w:szCs w:val="24"/>
        </w:rPr>
        <w:t xml:space="preserve"> 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>za 2026. godinu</w:t>
      </w:r>
      <w:r w:rsidR="00710BBC">
        <w:rPr>
          <w:rFonts w:ascii="Times New Roman" w:eastAsia="Arial" w:hAnsi="Times New Roman"/>
          <w:bCs/>
          <w:iCs/>
          <w:sz w:val="24"/>
          <w:szCs w:val="24"/>
        </w:rPr>
        <w:t xml:space="preserve">. </w:t>
      </w:r>
      <w:r w:rsidR="00710BBC" w:rsidRPr="00A24279">
        <w:rPr>
          <w:rFonts w:ascii="Times New Roman" w:eastAsia="Arial" w:hAnsi="Times New Roman"/>
          <w:bCs/>
          <w:iCs/>
          <w:sz w:val="24"/>
          <w:szCs w:val="24"/>
        </w:rPr>
        <w:t>U odnosu na ranije godine limit je planiran u većem iznosu radi promjena u financiranju iz Državnog proračuna. Utvrđuje se višegodišnje financiranje osnovne, razvojne i izvedbene proračunske komponente sredstvima državnog proračuna Republike Hrvatske, u skladu s postupkom propisanim Zakonom o visokom obrazovanju i znanstvenoj djelatnosti (“Narodne novine” br. 119/2022; dalje u tekstu: Zakon) i Uredbom o programskom financiranju javnih visokih učilišta i javnih znanstvenih instituta u Republici Hrvatskoj (“Narodne novine” br. 78/2023; dalje u tekstu: Uredba).</w:t>
      </w:r>
      <w:r w:rsidR="00710BBC">
        <w:rPr>
          <w:rFonts w:ascii="Times New Roman" w:eastAsia="Arial" w:hAnsi="Times New Roman"/>
          <w:bCs/>
          <w:iCs/>
          <w:sz w:val="24"/>
          <w:szCs w:val="24"/>
        </w:rPr>
        <w:t xml:space="preserve"> </w:t>
      </w:r>
    </w:p>
    <w:p w14:paraId="5D99A366" w14:textId="5C8E8E08" w:rsidR="00A24279" w:rsidRPr="00A24279" w:rsidRDefault="00355332" w:rsidP="00A24279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>
        <w:rPr>
          <w:rFonts w:ascii="Times New Roman" w:eastAsia="Arial" w:hAnsi="Times New Roman"/>
          <w:bCs/>
          <w:iCs/>
          <w:sz w:val="24"/>
          <w:szCs w:val="24"/>
        </w:rPr>
        <w:t xml:space="preserve">- </w:t>
      </w:r>
      <w:r w:rsidR="00A24279" w:rsidRPr="00A24279">
        <w:rPr>
          <w:rFonts w:ascii="Times New Roman" w:eastAsia="Arial" w:hAnsi="Times New Roman"/>
          <w:bCs/>
          <w:iCs/>
          <w:sz w:val="24"/>
          <w:szCs w:val="24"/>
        </w:rPr>
        <w:t>Plaće i materijalna prava zaposlenih:</w:t>
      </w:r>
    </w:p>
    <w:p w14:paraId="6A1E7398" w14:textId="69B726A8" w:rsidR="00A24279" w:rsidRPr="00A24279" w:rsidRDefault="00A24279" w:rsidP="00A24279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 w:rsidRPr="00A24279">
        <w:rPr>
          <w:rFonts w:ascii="Times New Roman" w:eastAsia="Arial" w:hAnsi="Times New Roman"/>
          <w:bCs/>
          <w:iCs/>
          <w:sz w:val="24"/>
          <w:szCs w:val="24"/>
        </w:rPr>
        <w:t>Na ovom mjestu planirani su troškovi za zaposle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>ne</w:t>
      </w: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 kojima se plać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>a</w:t>
      </w: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 isplaćuje iz Proračuna RH</w:t>
      </w:r>
      <w:r>
        <w:rPr>
          <w:rFonts w:ascii="Times New Roman" w:eastAsia="Arial" w:hAnsi="Times New Roman"/>
          <w:bCs/>
          <w:iCs/>
          <w:sz w:val="24"/>
          <w:szCs w:val="24"/>
        </w:rPr>
        <w:t>.</w:t>
      </w: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 Troškovi obuhvaćaju plaće za redovan rad, ostali rashodi za zaposlene, doprinosi za obvezno zdravstveno osiguranje, naknade za prijevoz, za rad na terenu i odvojeni život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 xml:space="preserve"> i sistematski zdravstveni pregledi</w:t>
      </w: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. Ukupan planirani iznos za 2026. iznosi 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>3</w:t>
      </w:r>
      <w:r w:rsidR="00E50D2F">
        <w:rPr>
          <w:rFonts w:ascii="Times New Roman" w:eastAsia="Arial" w:hAnsi="Times New Roman"/>
          <w:bCs/>
          <w:iCs/>
          <w:sz w:val="24"/>
          <w:szCs w:val="24"/>
        </w:rPr>
        <w:t>4.694.813</w:t>
      </w: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 </w:t>
      </w:r>
      <w:r w:rsidR="00355332">
        <w:rPr>
          <w:rFonts w:ascii="Times New Roman" w:eastAsia="Arial" w:hAnsi="Times New Roman"/>
          <w:bCs/>
          <w:iCs/>
          <w:sz w:val="24"/>
          <w:szCs w:val="24"/>
        </w:rPr>
        <w:t>eura</w:t>
      </w:r>
      <w:r w:rsidRPr="00A24279">
        <w:rPr>
          <w:rFonts w:ascii="Times New Roman" w:eastAsia="Arial" w:hAnsi="Times New Roman"/>
          <w:bCs/>
          <w:iCs/>
          <w:sz w:val="24"/>
          <w:szCs w:val="24"/>
        </w:rPr>
        <w:t xml:space="preserve">. </w:t>
      </w:r>
    </w:p>
    <w:p w14:paraId="5B3A132C" w14:textId="4B318B6B" w:rsidR="00A24279" w:rsidRDefault="00355332" w:rsidP="00A24279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>
        <w:rPr>
          <w:rFonts w:ascii="Times New Roman" w:eastAsia="Arial" w:hAnsi="Times New Roman"/>
          <w:bCs/>
          <w:iCs/>
          <w:sz w:val="24"/>
          <w:szCs w:val="24"/>
        </w:rPr>
        <w:t xml:space="preserve">- </w:t>
      </w:r>
      <w:r w:rsidR="00A24279" w:rsidRPr="00A24279">
        <w:rPr>
          <w:rFonts w:ascii="Times New Roman" w:eastAsia="Arial" w:hAnsi="Times New Roman"/>
          <w:bCs/>
          <w:iCs/>
          <w:sz w:val="24"/>
          <w:szCs w:val="24"/>
        </w:rPr>
        <w:t>Materijalni i drugi slični troškovi poslovanja</w:t>
      </w:r>
    </w:p>
    <w:p w14:paraId="1D8F334E" w14:textId="77777777" w:rsidR="00EF26F6" w:rsidRDefault="00AF7546" w:rsidP="00A24279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 w:rsidRPr="00AF7546">
        <w:rPr>
          <w:rFonts w:ascii="Times New Roman" w:eastAsia="Arial" w:hAnsi="Times New Roman"/>
          <w:bCs/>
          <w:iCs/>
          <w:sz w:val="24"/>
          <w:szCs w:val="24"/>
        </w:rPr>
        <w:t xml:space="preserve">Ova </w:t>
      </w:r>
      <w:r>
        <w:rPr>
          <w:rFonts w:ascii="Times New Roman" w:eastAsia="Arial" w:hAnsi="Times New Roman"/>
          <w:bCs/>
          <w:iCs/>
          <w:sz w:val="24"/>
          <w:szCs w:val="24"/>
        </w:rPr>
        <w:t>komponenta</w:t>
      </w:r>
      <w:r w:rsidRPr="00AF7546">
        <w:rPr>
          <w:rFonts w:ascii="Times New Roman" w:eastAsia="Arial" w:hAnsi="Times New Roman"/>
          <w:bCs/>
          <w:iCs/>
          <w:sz w:val="24"/>
          <w:szCs w:val="24"/>
        </w:rPr>
        <w:t xml:space="preserve"> obuhvaća troškove hladnog pogona (energija, komunalne usluge i dr.), tekuće i investicijsko održavanje znanstvene infrastrukture, obavljanje znanstvene i stručne djelatnosti, studentski standard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 i</w:t>
      </w:r>
      <w:r w:rsidRPr="00AF7546">
        <w:rPr>
          <w:rFonts w:ascii="Times New Roman" w:eastAsia="Arial" w:hAnsi="Times New Roman"/>
          <w:bCs/>
          <w:iCs/>
          <w:sz w:val="24"/>
          <w:szCs w:val="24"/>
        </w:rPr>
        <w:t xml:space="preserve"> izdavačku djelatnost. Sredstva za 2026.g. planirana su u iznosu od </w:t>
      </w:r>
      <w:r w:rsidR="005F5137">
        <w:rPr>
          <w:rFonts w:ascii="Times New Roman" w:eastAsia="Arial" w:hAnsi="Times New Roman"/>
          <w:bCs/>
          <w:iCs/>
          <w:sz w:val="24"/>
          <w:szCs w:val="24"/>
        </w:rPr>
        <w:t>2.433.536 eura</w:t>
      </w:r>
      <w:r w:rsidRPr="00AF7546">
        <w:rPr>
          <w:rFonts w:ascii="Times New Roman" w:eastAsia="Arial" w:hAnsi="Times New Roman"/>
          <w:bCs/>
          <w:iCs/>
          <w:sz w:val="24"/>
          <w:szCs w:val="24"/>
        </w:rPr>
        <w:t>.</w:t>
      </w:r>
    </w:p>
    <w:p w14:paraId="4540E822" w14:textId="6516CD5D" w:rsidR="00EF26F6" w:rsidRDefault="0019327E" w:rsidP="00BD54BC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 w:rsidRPr="0019327E">
        <w:rPr>
          <w:rFonts w:ascii="Times New Roman" w:eastAsia="Arial" w:hAnsi="Times New Roman"/>
          <w:b/>
          <w:iCs/>
          <w:sz w:val="24"/>
          <w:szCs w:val="24"/>
        </w:rPr>
        <w:lastRenderedPageBreak/>
        <w:t>Razvojna proračunska komponenta</w:t>
      </w:r>
    </w:p>
    <w:p w14:paraId="39088186" w14:textId="70A3F21F" w:rsidR="0019327E" w:rsidRDefault="00B85266" w:rsidP="00BD54BC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 w:rsidRPr="00B85266">
        <w:rPr>
          <w:rFonts w:ascii="Times New Roman" w:eastAsia="Arial" w:hAnsi="Times New Roman"/>
          <w:bCs/>
          <w:iCs/>
          <w:sz w:val="24"/>
          <w:szCs w:val="24"/>
        </w:rPr>
        <w:t xml:space="preserve">U sklopu dijela razvojne komponenta koje se financira iz izvora 11- Opći prihodi </w:t>
      </w:r>
      <w:r w:rsidR="009C4DEE">
        <w:rPr>
          <w:rFonts w:ascii="Times New Roman" w:eastAsia="Arial" w:hAnsi="Times New Roman"/>
          <w:bCs/>
          <w:iCs/>
          <w:sz w:val="24"/>
          <w:szCs w:val="24"/>
        </w:rPr>
        <w:t xml:space="preserve">i </w:t>
      </w:r>
      <w:r w:rsidRPr="00B85266">
        <w:rPr>
          <w:rFonts w:ascii="Times New Roman" w:eastAsia="Arial" w:hAnsi="Times New Roman"/>
          <w:bCs/>
          <w:iCs/>
          <w:sz w:val="24"/>
          <w:szCs w:val="24"/>
        </w:rPr>
        <w:t>primici, planirani su troškovi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 </w:t>
      </w:r>
      <w:r w:rsidRPr="00B85266">
        <w:rPr>
          <w:rFonts w:ascii="Times New Roman" w:eastAsia="Arial" w:hAnsi="Times New Roman"/>
          <w:bCs/>
          <w:iCs/>
          <w:sz w:val="24"/>
          <w:szCs w:val="24"/>
        </w:rPr>
        <w:t>sudjelovanj</w:t>
      </w:r>
      <w:r>
        <w:rPr>
          <w:rFonts w:ascii="Times New Roman" w:eastAsia="Arial" w:hAnsi="Times New Roman"/>
          <w:bCs/>
          <w:iCs/>
          <w:sz w:val="24"/>
          <w:szCs w:val="24"/>
        </w:rPr>
        <w:t>a</w:t>
      </w:r>
      <w:r w:rsidRPr="00B85266">
        <w:rPr>
          <w:rFonts w:ascii="Times New Roman" w:eastAsia="Arial" w:hAnsi="Times New Roman"/>
          <w:bCs/>
          <w:iCs/>
          <w:sz w:val="24"/>
          <w:szCs w:val="24"/>
        </w:rPr>
        <w:t xml:space="preserve"> na međunarodnim konferencijama uz objavu rada</w:t>
      </w:r>
      <w:r>
        <w:rPr>
          <w:rFonts w:ascii="Times New Roman" w:eastAsia="Arial" w:hAnsi="Times New Roman"/>
          <w:bCs/>
          <w:iCs/>
          <w:sz w:val="24"/>
          <w:szCs w:val="24"/>
        </w:rPr>
        <w:t>, s</w:t>
      </w:r>
      <w:r w:rsidRPr="00B85266">
        <w:rPr>
          <w:rFonts w:ascii="Times New Roman" w:eastAsia="Arial" w:hAnsi="Times New Roman"/>
          <w:bCs/>
          <w:iCs/>
          <w:sz w:val="24"/>
          <w:szCs w:val="24"/>
        </w:rPr>
        <w:t>uorganiziranj</w:t>
      </w:r>
      <w:r>
        <w:rPr>
          <w:rFonts w:ascii="Times New Roman" w:eastAsia="Arial" w:hAnsi="Times New Roman"/>
          <w:bCs/>
          <w:iCs/>
          <w:sz w:val="24"/>
          <w:szCs w:val="24"/>
        </w:rPr>
        <w:t>a</w:t>
      </w:r>
      <w:r w:rsidRPr="00B85266">
        <w:rPr>
          <w:rFonts w:ascii="Times New Roman" w:eastAsia="Arial" w:hAnsi="Times New Roman"/>
          <w:bCs/>
          <w:iCs/>
          <w:sz w:val="24"/>
          <w:szCs w:val="24"/>
        </w:rPr>
        <w:t xml:space="preserve"> međunarodnih konferencija</w:t>
      </w:r>
      <w:r>
        <w:rPr>
          <w:rFonts w:ascii="Times New Roman" w:eastAsia="Arial" w:hAnsi="Times New Roman"/>
          <w:bCs/>
          <w:iCs/>
          <w:sz w:val="24"/>
          <w:szCs w:val="24"/>
        </w:rPr>
        <w:t>, u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savršavanje djelatnika stručnih službi</w:t>
      </w:r>
      <w:r>
        <w:rPr>
          <w:rFonts w:ascii="Times New Roman" w:eastAsia="Arial" w:hAnsi="Times New Roman"/>
          <w:bCs/>
          <w:iCs/>
          <w:sz w:val="24"/>
          <w:szCs w:val="24"/>
        </w:rPr>
        <w:t>,</w:t>
      </w:r>
      <w:r w:rsidRPr="00B85266">
        <w:rPr>
          <w:rFonts w:ascii="Times New Roman" w:eastAsia="Arial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" w:hAnsi="Times New Roman"/>
          <w:bCs/>
          <w:iCs/>
          <w:sz w:val="24"/>
          <w:szCs w:val="24"/>
        </w:rPr>
        <w:t>p</w:t>
      </w:r>
      <w:r w:rsidRPr="00B85266">
        <w:rPr>
          <w:rFonts w:ascii="Times New Roman" w:eastAsia="Arial" w:hAnsi="Times New Roman"/>
          <w:bCs/>
          <w:iCs/>
          <w:sz w:val="24"/>
          <w:szCs w:val="24"/>
        </w:rPr>
        <w:t>oticanje politike otvorene znanosti</w:t>
      </w:r>
      <w:r>
        <w:rPr>
          <w:rFonts w:ascii="Times New Roman" w:eastAsia="Arial" w:hAnsi="Times New Roman"/>
          <w:bCs/>
          <w:iCs/>
          <w:sz w:val="24"/>
          <w:szCs w:val="24"/>
        </w:rPr>
        <w:t>, s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uradnja s gospodarskim subjektima i s ustanovama iz kulture i obrazovanja</w:t>
      </w:r>
      <w:r>
        <w:rPr>
          <w:rFonts w:ascii="Times New Roman" w:eastAsia="Arial" w:hAnsi="Times New Roman"/>
          <w:bCs/>
          <w:iCs/>
          <w:sz w:val="24"/>
          <w:szCs w:val="24"/>
        </w:rPr>
        <w:t>, u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vođenje suvremenih metoda i tehnologija poučavanja u nastavi</w:t>
      </w:r>
      <w:r>
        <w:rPr>
          <w:rFonts w:ascii="Times New Roman" w:eastAsia="Arial" w:hAnsi="Times New Roman"/>
          <w:bCs/>
          <w:iCs/>
          <w:sz w:val="24"/>
          <w:szCs w:val="24"/>
        </w:rPr>
        <w:t>, r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azvoj usluga za potporu studentima i unaprjeđivanje studentskog standarda osnivanjem studentskih inkubatora</w:t>
      </w:r>
      <w:r>
        <w:rPr>
          <w:rFonts w:ascii="Times New Roman" w:eastAsia="Arial" w:hAnsi="Times New Roman"/>
          <w:bCs/>
          <w:iCs/>
          <w:sz w:val="24"/>
          <w:szCs w:val="24"/>
        </w:rPr>
        <w:t>, u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naprjeđenje pružanja usluga studentima organiziranjem ljetnih škola i prevoditeljskih radionica</w:t>
      </w:r>
      <w:r>
        <w:rPr>
          <w:rFonts w:ascii="Times New Roman" w:eastAsia="Arial" w:hAnsi="Times New Roman"/>
          <w:bCs/>
          <w:iCs/>
          <w:sz w:val="24"/>
          <w:szCs w:val="24"/>
        </w:rPr>
        <w:t>, n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 xml:space="preserve">abava nastavnih pomagala neophodnih za uvođenje suvremenih metoda i tehnologija poučavanja u nastavi </w:t>
      </w:r>
      <w:r>
        <w:rPr>
          <w:rFonts w:ascii="Times New Roman" w:eastAsia="Arial" w:hAnsi="Times New Roman"/>
          <w:bCs/>
          <w:iCs/>
          <w:sz w:val="24"/>
          <w:szCs w:val="24"/>
        </w:rPr>
        <w:t>, s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ufinanciranje nabave opreme namijenjene obavljanju nastavne djelatnosti</w:t>
      </w:r>
      <w:r>
        <w:rPr>
          <w:rFonts w:ascii="Times New Roman" w:eastAsia="Arial" w:hAnsi="Times New Roman"/>
          <w:bCs/>
          <w:iCs/>
          <w:sz w:val="24"/>
          <w:szCs w:val="24"/>
        </w:rPr>
        <w:t>, s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ufinanciranje rekonstrukcije, adaptacije i opremanja objekata namijenjenih obavljanju nastavne djelatnosti</w:t>
      </w:r>
      <w:r>
        <w:rPr>
          <w:rFonts w:ascii="Times New Roman" w:eastAsia="Arial" w:hAnsi="Times New Roman"/>
          <w:bCs/>
          <w:iCs/>
          <w:sz w:val="24"/>
          <w:szCs w:val="24"/>
        </w:rPr>
        <w:t>, d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igitalna transformacija poslovanja, izrada cjelovitog sustava za upravljanje web sadržajima institucije, uspostava sustava ispisa u oblaku, rekonstrukcija telefonske centrale i ugradnja novog sustava baziranog na VoIP tehnologiji te jačanje digitalnih kompetencija zaposlenika</w:t>
      </w:r>
      <w:r>
        <w:rPr>
          <w:rFonts w:ascii="Times New Roman" w:eastAsia="Arial" w:hAnsi="Times New Roman"/>
          <w:bCs/>
          <w:iCs/>
          <w:sz w:val="24"/>
          <w:szCs w:val="24"/>
        </w:rPr>
        <w:t>, o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rganiziranje različitih vrsta međunarodnih događanja</w:t>
      </w:r>
      <w:r>
        <w:rPr>
          <w:rFonts w:ascii="Times New Roman" w:eastAsia="Arial" w:hAnsi="Times New Roman"/>
          <w:bCs/>
          <w:iCs/>
          <w:sz w:val="24"/>
          <w:szCs w:val="24"/>
        </w:rPr>
        <w:t>, r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 xml:space="preserve">azvoj suradnje s inozemnim znanstvenim i visokoobrazovnim institucijama 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 te r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>azvoj usluga za potporu studentima i unaprjeđivanje studentskog standarda</w:t>
      </w:r>
      <w:r>
        <w:rPr>
          <w:rFonts w:ascii="Times New Roman" w:eastAsia="Arial" w:hAnsi="Times New Roman"/>
          <w:bCs/>
          <w:iCs/>
          <w:sz w:val="24"/>
          <w:szCs w:val="24"/>
        </w:rPr>
        <w:t>.</w:t>
      </w:r>
      <w:r w:rsidR="00BD54BC" w:rsidRPr="00B85266">
        <w:rPr>
          <w:rFonts w:ascii="Times New Roman" w:eastAsia="Arial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" w:hAnsi="Times New Roman"/>
          <w:bCs/>
          <w:iCs/>
          <w:sz w:val="24"/>
          <w:szCs w:val="24"/>
        </w:rPr>
        <w:t>Za 2026. godinu planirana je u iznosu 5</w:t>
      </w:r>
      <w:r w:rsidR="00E50D2F">
        <w:rPr>
          <w:rFonts w:ascii="Times New Roman" w:eastAsia="Arial" w:hAnsi="Times New Roman"/>
          <w:bCs/>
          <w:iCs/>
          <w:sz w:val="24"/>
          <w:szCs w:val="24"/>
        </w:rPr>
        <w:t>04.725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 eura.</w:t>
      </w:r>
    </w:p>
    <w:p w14:paraId="1095D3C9" w14:textId="77777777" w:rsidR="00EF26F6" w:rsidRDefault="00EF26F6" w:rsidP="00BD54BC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Cs/>
          <w:sz w:val="24"/>
          <w:szCs w:val="24"/>
        </w:rPr>
      </w:pPr>
    </w:p>
    <w:p w14:paraId="7B6796A1" w14:textId="36D15B81" w:rsidR="00EF26F6" w:rsidRPr="00FE0ABD" w:rsidRDefault="00B85266" w:rsidP="009C4DEE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Cs/>
          <w:sz w:val="24"/>
          <w:szCs w:val="24"/>
        </w:rPr>
      </w:pPr>
      <w:r w:rsidRPr="00B85266">
        <w:rPr>
          <w:rFonts w:ascii="Times New Roman" w:eastAsia="Arial" w:hAnsi="Times New Roman"/>
          <w:b/>
          <w:iCs/>
          <w:sz w:val="24"/>
          <w:szCs w:val="24"/>
        </w:rPr>
        <w:t>Izvedbena proračunska komponenta</w:t>
      </w:r>
    </w:p>
    <w:p w14:paraId="07C81278" w14:textId="3EC5040E" w:rsidR="00110F64" w:rsidRDefault="009C4DEE" w:rsidP="009C4DEE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>
        <w:rPr>
          <w:rFonts w:ascii="Times New Roman" w:eastAsia="Arial" w:hAnsi="Times New Roman"/>
          <w:bCs/>
          <w:iCs/>
          <w:sz w:val="24"/>
          <w:szCs w:val="24"/>
        </w:rPr>
        <w:t>I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>zvedben</w:t>
      </w:r>
      <w:r>
        <w:rPr>
          <w:rFonts w:ascii="Times New Roman" w:eastAsia="Arial" w:hAnsi="Times New Roman"/>
          <w:bCs/>
          <w:iCs/>
          <w:sz w:val="24"/>
          <w:szCs w:val="24"/>
        </w:rPr>
        <w:t>a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 xml:space="preserve"> komponent</w:t>
      </w:r>
      <w:r>
        <w:rPr>
          <w:rFonts w:ascii="Times New Roman" w:eastAsia="Arial" w:hAnsi="Times New Roman"/>
          <w:bCs/>
          <w:iCs/>
          <w:sz w:val="24"/>
          <w:szCs w:val="24"/>
        </w:rPr>
        <w:t>a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 xml:space="preserve"> na teret izvora 11</w:t>
      </w:r>
      <w:r>
        <w:rPr>
          <w:rFonts w:ascii="Times New Roman" w:eastAsia="Arial" w:hAnsi="Times New Roman"/>
          <w:bCs/>
          <w:iCs/>
          <w:sz w:val="24"/>
          <w:szCs w:val="24"/>
        </w:rPr>
        <w:t xml:space="preserve"> Opći prihodi i primici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 xml:space="preserve"> obuhvaća troškove </w:t>
      </w:r>
      <w:r>
        <w:rPr>
          <w:rFonts w:ascii="Times New Roman" w:eastAsia="Arial" w:hAnsi="Times New Roman"/>
          <w:bCs/>
          <w:iCs/>
          <w:sz w:val="24"/>
          <w:szCs w:val="24"/>
        </w:rPr>
        <w:t>i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>zdavačk</w:t>
      </w:r>
      <w:r>
        <w:rPr>
          <w:rFonts w:ascii="Times New Roman" w:eastAsia="Arial" w:hAnsi="Times New Roman"/>
          <w:bCs/>
          <w:iCs/>
          <w:sz w:val="24"/>
          <w:szCs w:val="24"/>
        </w:rPr>
        <w:t>e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 xml:space="preserve"> djelatnost</w:t>
      </w:r>
      <w:r>
        <w:rPr>
          <w:rFonts w:ascii="Times New Roman" w:eastAsia="Arial" w:hAnsi="Times New Roman"/>
          <w:bCs/>
          <w:iCs/>
          <w:sz w:val="24"/>
          <w:szCs w:val="24"/>
        </w:rPr>
        <w:t>i, o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>rganiziranje međunarodnih konferencija i konferencija s međunarodnim sudjelovanjem te domaćih znanstvenih i stručnih skupova za diseminaciju znanstvenih spoznaja</w:t>
      </w:r>
      <w:r w:rsidR="006D70F8">
        <w:rPr>
          <w:rFonts w:ascii="Times New Roman" w:eastAsia="Arial" w:hAnsi="Times New Roman"/>
          <w:bCs/>
          <w:iCs/>
          <w:sz w:val="24"/>
          <w:szCs w:val="24"/>
        </w:rPr>
        <w:t>, s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>tjecanje praktičnih kompentencija studenata temeljem rada na projektu</w:t>
      </w:r>
      <w:r w:rsidR="006D70F8">
        <w:rPr>
          <w:rFonts w:ascii="Times New Roman" w:eastAsia="Arial" w:hAnsi="Times New Roman"/>
          <w:bCs/>
          <w:iCs/>
          <w:sz w:val="24"/>
          <w:szCs w:val="24"/>
        </w:rPr>
        <w:t>, p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>okretanje programa cjeloživotnog obrazovanja usklađenih s Hrvatskim klasifikacijskim okvirom za deficitarna zanimanja</w:t>
      </w:r>
      <w:r w:rsidR="006D70F8">
        <w:rPr>
          <w:rFonts w:ascii="Times New Roman" w:eastAsia="Arial" w:hAnsi="Times New Roman"/>
          <w:bCs/>
          <w:iCs/>
          <w:sz w:val="24"/>
          <w:szCs w:val="24"/>
        </w:rPr>
        <w:t xml:space="preserve"> te p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>opularizacij</w:t>
      </w:r>
      <w:r w:rsidR="006D70F8">
        <w:rPr>
          <w:rFonts w:ascii="Times New Roman" w:eastAsia="Arial" w:hAnsi="Times New Roman"/>
          <w:bCs/>
          <w:iCs/>
          <w:sz w:val="24"/>
          <w:szCs w:val="24"/>
        </w:rPr>
        <w:t>u</w:t>
      </w:r>
      <w:r w:rsidRPr="009C4DEE">
        <w:rPr>
          <w:rFonts w:ascii="Times New Roman" w:eastAsia="Arial" w:hAnsi="Times New Roman"/>
          <w:bCs/>
          <w:iCs/>
          <w:sz w:val="24"/>
          <w:szCs w:val="24"/>
        </w:rPr>
        <w:t xml:space="preserve"> znanosti i umjetnosti</w:t>
      </w:r>
      <w:r w:rsidR="006D70F8">
        <w:rPr>
          <w:rFonts w:ascii="Times New Roman" w:eastAsia="Arial" w:hAnsi="Times New Roman"/>
          <w:bCs/>
          <w:iCs/>
          <w:sz w:val="24"/>
          <w:szCs w:val="24"/>
        </w:rPr>
        <w:t xml:space="preserve">. </w:t>
      </w:r>
      <w:r w:rsidR="006D70F8" w:rsidRPr="006D70F8">
        <w:rPr>
          <w:rFonts w:ascii="Times New Roman" w:eastAsia="Arial" w:hAnsi="Times New Roman"/>
          <w:bCs/>
          <w:iCs/>
          <w:sz w:val="24"/>
          <w:szCs w:val="24"/>
        </w:rPr>
        <w:t>Za 2026. godinu planirana je u iznosu</w:t>
      </w:r>
      <w:r w:rsidR="006D70F8">
        <w:rPr>
          <w:rFonts w:ascii="Times New Roman" w:eastAsia="Arial" w:hAnsi="Times New Roman"/>
          <w:bCs/>
          <w:iCs/>
          <w:sz w:val="24"/>
          <w:szCs w:val="24"/>
        </w:rPr>
        <w:t xml:space="preserve"> </w:t>
      </w:r>
      <w:r w:rsidR="00E50D2F">
        <w:rPr>
          <w:rFonts w:ascii="Times New Roman" w:eastAsia="Arial" w:hAnsi="Times New Roman"/>
          <w:bCs/>
          <w:iCs/>
          <w:sz w:val="24"/>
          <w:szCs w:val="24"/>
        </w:rPr>
        <w:t xml:space="preserve">387.016 </w:t>
      </w:r>
      <w:r w:rsidR="006D70F8">
        <w:rPr>
          <w:rFonts w:ascii="Times New Roman" w:eastAsia="Arial" w:hAnsi="Times New Roman"/>
          <w:bCs/>
          <w:iCs/>
          <w:sz w:val="24"/>
          <w:szCs w:val="24"/>
        </w:rPr>
        <w:t>eura.</w:t>
      </w:r>
    </w:p>
    <w:p w14:paraId="578D4FFD" w14:textId="77777777" w:rsidR="00FE0ABD" w:rsidRDefault="00FE0ABD" w:rsidP="00886293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Cs/>
          <w:sz w:val="24"/>
          <w:szCs w:val="24"/>
        </w:rPr>
      </w:pPr>
    </w:p>
    <w:p w14:paraId="63A895CA" w14:textId="4D85F36F" w:rsidR="00EF26F6" w:rsidRDefault="00FE0ABD" w:rsidP="00886293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Cs/>
          <w:sz w:val="24"/>
          <w:szCs w:val="24"/>
        </w:rPr>
      </w:pPr>
      <w:r w:rsidRPr="00FE0ABD">
        <w:rPr>
          <w:rFonts w:ascii="Times New Roman" w:eastAsia="Arial" w:hAnsi="Times New Roman"/>
          <w:b/>
          <w:iCs/>
          <w:sz w:val="24"/>
          <w:szCs w:val="24"/>
        </w:rPr>
        <w:t>A679136</w:t>
      </w:r>
      <w:r>
        <w:rPr>
          <w:rFonts w:ascii="Times New Roman" w:eastAsia="Arial" w:hAnsi="Times New Roman"/>
          <w:b/>
          <w:iCs/>
          <w:sz w:val="24"/>
          <w:szCs w:val="24"/>
        </w:rPr>
        <w:t xml:space="preserve"> </w:t>
      </w:r>
      <w:r w:rsidRPr="00FE0ABD">
        <w:rPr>
          <w:rFonts w:ascii="Times New Roman" w:eastAsia="Arial" w:hAnsi="Times New Roman"/>
          <w:b/>
          <w:iCs/>
          <w:sz w:val="24"/>
          <w:szCs w:val="24"/>
        </w:rPr>
        <w:t>'RAZVOJ SUSTAVA PROGRAMSKIH SPORAZUMA ZA FINANCIRANJE SVEUČILIŠTA I ZNANSTVENIH INSTITUTA USMJERENIH NA INOVACIJE, ISTRAŽIVANJE I RAZVOJ - NPOO (C3.2. R1-I1)</w:t>
      </w:r>
    </w:p>
    <w:p w14:paraId="26D8D107" w14:textId="77777777" w:rsidR="00FE0ABD" w:rsidRDefault="00FE0ABD" w:rsidP="00886293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Cs/>
          <w:sz w:val="24"/>
          <w:szCs w:val="24"/>
        </w:rPr>
      </w:pPr>
    </w:p>
    <w:tbl>
      <w:tblPr>
        <w:tblW w:w="9784" w:type="dxa"/>
        <w:tblInd w:w="-5" w:type="dxa"/>
        <w:tblLook w:val="04A0" w:firstRow="1" w:lastRow="0" w:firstColumn="1" w:lastColumn="0" w:noHBand="0" w:noVBand="1"/>
      </w:tblPr>
      <w:tblGrid>
        <w:gridCol w:w="1223"/>
        <w:gridCol w:w="1296"/>
        <w:gridCol w:w="1360"/>
        <w:gridCol w:w="1596"/>
        <w:gridCol w:w="1596"/>
        <w:gridCol w:w="1596"/>
        <w:gridCol w:w="1117"/>
      </w:tblGrid>
      <w:tr w:rsidR="00FE0ABD" w:rsidRPr="00DE1394" w14:paraId="434182E6" w14:textId="77777777" w:rsidTr="00FE0ABD">
        <w:trPr>
          <w:trHeight w:val="735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F20C0" w14:textId="77777777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82AB0" w14:textId="77777777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Izvršenje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A599D" w14:textId="77777777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Plan 2025.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C8DF0" w14:textId="77777777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Plan 2026.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E08FB" w14:textId="77777777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Plan 2027.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B4207" w14:textId="77777777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Plan 2028.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0CCE7" w14:textId="77777777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394">
              <w:rPr>
                <w:rFonts w:ascii="Times New Roman" w:eastAsia="Times New Roman" w:hAnsi="Times New Roman"/>
                <w:sz w:val="24"/>
                <w:szCs w:val="24"/>
              </w:rPr>
              <w:t>Indeks 26./25.</w:t>
            </w:r>
          </w:p>
        </w:tc>
      </w:tr>
      <w:tr w:rsidR="00FE0ABD" w:rsidRPr="00DE1394" w14:paraId="01C068ED" w14:textId="77777777" w:rsidTr="00FE0ABD">
        <w:trPr>
          <w:trHeight w:val="48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883F" w14:textId="7D3DD550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0A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FE0ABD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67913</w:t>
            </w:r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B8CC" w14:textId="39D31C00" w:rsidR="00FE0ABD" w:rsidRPr="00DE1394" w:rsidRDefault="00FE0ABD" w:rsidP="00FE0A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830C4" w14:textId="7D80EED9" w:rsidR="00FE0ABD" w:rsidRPr="00DE1394" w:rsidRDefault="00FE0ABD" w:rsidP="00FE0A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F9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06.885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B40F" w14:textId="51B0BB36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1.227.541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F69A8" w14:textId="134C8359" w:rsidR="00FE0ABD" w:rsidRPr="00DE1394" w:rsidRDefault="00FE0ABD" w:rsidP="00344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1.227.541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3370" w14:textId="33E8DE0B" w:rsidR="00FE0ABD" w:rsidRPr="00DE1394" w:rsidRDefault="00FE0ABD" w:rsidP="00344A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1.227.541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2EA0" w14:textId="62A26819" w:rsidR="00FE0ABD" w:rsidRPr="00DE1394" w:rsidRDefault="00FE0ABD" w:rsidP="00344A1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400,00</w:t>
            </w:r>
          </w:p>
        </w:tc>
      </w:tr>
    </w:tbl>
    <w:p w14:paraId="0714034C" w14:textId="77777777" w:rsidR="00FE0ABD" w:rsidRDefault="00FE0ABD" w:rsidP="00886293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Cs/>
          <w:sz w:val="24"/>
          <w:szCs w:val="24"/>
        </w:rPr>
      </w:pPr>
    </w:p>
    <w:p w14:paraId="3FDBDC0D" w14:textId="18B02654" w:rsidR="00EF26F6" w:rsidRPr="00FE0ABD" w:rsidRDefault="00886293" w:rsidP="00886293">
      <w:pPr>
        <w:spacing w:after="176" w:line="252" w:lineRule="auto"/>
        <w:ind w:right="4"/>
        <w:jc w:val="both"/>
        <w:rPr>
          <w:rFonts w:ascii="Times New Roman" w:eastAsia="Arial" w:hAnsi="Times New Roman"/>
          <w:b/>
          <w:iCs/>
          <w:sz w:val="24"/>
          <w:szCs w:val="24"/>
        </w:rPr>
      </w:pPr>
      <w:r w:rsidRPr="00886293">
        <w:rPr>
          <w:rFonts w:ascii="Times New Roman" w:eastAsia="Arial" w:hAnsi="Times New Roman"/>
          <w:b/>
          <w:iCs/>
          <w:sz w:val="24"/>
          <w:szCs w:val="24"/>
        </w:rPr>
        <w:t>NPOO znanstveni projekti  - izvor 581</w:t>
      </w:r>
    </w:p>
    <w:p w14:paraId="4DEE8012" w14:textId="500A8D4E" w:rsidR="00D25C96" w:rsidRPr="00B85266" w:rsidRDefault="00886293" w:rsidP="00886293">
      <w:pPr>
        <w:spacing w:after="176" w:line="252" w:lineRule="auto"/>
        <w:ind w:right="4"/>
        <w:jc w:val="both"/>
        <w:rPr>
          <w:rFonts w:ascii="Times New Roman" w:eastAsia="Arial" w:hAnsi="Times New Roman"/>
          <w:bCs/>
          <w:iCs/>
          <w:sz w:val="24"/>
          <w:szCs w:val="24"/>
        </w:rPr>
      </w:pPr>
      <w:r>
        <w:rPr>
          <w:rFonts w:ascii="Times New Roman" w:eastAsia="Arial" w:hAnsi="Times New Roman"/>
          <w:bCs/>
          <w:iCs/>
          <w:sz w:val="24"/>
          <w:szCs w:val="24"/>
        </w:rPr>
        <w:t>Unutar izvedbene proračunske komponente u</w:t>
      </w:r>
      <w:r w:rsidRPr="00886293">
        <w:rPr>
          <w:rFonts w:ascii="Times New Roman" w:eastAsia="Arial" w:hAnsi="Times New Roman"/>
          <w:bCs/>
          <w:iCs/>
          <w:sz w:val="24"/>
          <w:szCs w:val="24"/>
        </w:rPr>
        <w:t xml:space="preserve"> sklopu izvora 581 Mehanizam za oporavak i otpornost planirani su rashodi za </w:t>
      </w:r>
      <w:r w:rsidR="00266CD4">
        <w:rPr>
          <w:rFonts w:ascii="Times New Roman" w:eastAsia="Arial" w:hAnsi="Times New Roman"/>
          <w:bCs/>
          <w:iCs/>
          <w:sz w:val="24"/>
          <w:szCs w:val="24"/>
        </w:rPr>
        <w:t>70</w:t>
      </w:r>
      <w:r w:rsidRPr="00886293">
        <w:rPr>
          <w:rFonts w:ascii="Times New Roman" w:eastAsia="Arial" w:hAnsi="Times New Roman"/>
          <w:bCs/>
          <w:iCs/>
          <w:sz w:val="24"/>
          <w:szCs w:val="24"/>
        </w:rPr>
        <w:t xml:space="preserve"> </w:t>
      </w:r>
      <w:r w:rsidR="00D25C96">
        <w:rPr>
          <w:rFonts w:ascii="Times New Roman" w:eastAsia="Arial" w:hAnsi="Times New Roman"/>
          <w:bCs/>
          <w:iCs/>
          <w:sz w:val="24"/>
          <w:szCs w:val="24"/>
        </w:rPr>
        <w:t xml:space="preserve">ugovorenih </w:t>
      </w:r>
      <w:r w:rsidR="00D25C96" w:rsidRPr="00D25C96">
        <w:rPr>
          <w:rFonts w:ascii="Times New Roman" w:eastAsia="Arial" w:hAnsi="Times New Roman"/>
          <w:bCs/>
          <w:iCs/>
          <w:sz w:val="24"/>
          <w:szCs w:val="24"/>
        </w:rPr>
        <w:t xml:space="preserve">institucionalnih istraživačkih projekata (62 istraživačka i 8 inicijalnih istraživačkih projekata) koji se bave širokim dijapazonom tema iz društvenih i humanističkih znanosti te pridonose implementaciji novih i inovativnih metoda i pristupa u interpretaciji građe. Riječ je o projektima koji doprinose podizanju znanstvene izvrsnosti, internacionalizaciji i jačanju interdisciplinarne i međuinstitucionalne domaće i međunarodne znanstvene suradnje, promicanju otvorene znanosti, popularizaciji znanosti itd., te koji okupljaju </w:t>
      </w:r>
      <w:r w:rsidR="00D25C96" w:rsidRPr="00D25C96">
        <w:rPr>
          <w:rFonts w:ascii="Times New Roman" w:eastAsia="Arial" w:hAnsi="Times New Roman"/>
          <w:bCs/>
          <w:iCs/>
          <w:sz w:val="24"/>
          <w:szCs w:val="24"/>
        </w:rPr>
        <w:lastRenderedPageBreak/>
        <w:t>širok tim istraživača različitih profila i disciplina - od znanstvenika s Fakulteta do vanjskih suradnika s visokoobrazovnih institucija, znanstvenih instituta, baštinskih i drugih ustanova iz Hrvatske i inozemstva.</w:t>
      </w:r>
    </w:p>
    <w:p w14:paraId="3B5D57E8" w14:textId="77777777" w:rsidR="00EF26F6" w:rsidRDefault="00EF26F6" w:rsidP="007B5742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</w:p>
    <w:p w14:paraId="4990CBC0" w14:textId="619F9800" w:rsidR="00BC42A0" w:rsidRPr="00BC42A0" w:rsidRDefault="00BC42A0" w:rsidP="00BC42A0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</w:rPr>
      </w:pPr>
      <w:r w:rsidRPr="00BC42A0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="00FE0ABD" w:rsidRPr="00FE0ABD">
        <w:rPr>
          <w:rFonts w:ascii="Times New Roman" w:eastAsia="Times New Roman" w:hAnsi="Times New Roman"/>
          <w:b/>
          <w:bCs/>
          <w:sz w:val="24"/>
          <w:szCs w:val="24"/>
        </w:rPr>
        <w:t>679135</w:t>
      </w:r>
      <w:r w:rsidRPr="00BC42A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E0ABD" w:rsidRPr="00FE0ABD">
        <w:rPr>
          <w:rFonts w:ascii="Times New Roman" w:eastAsia="Times New Roman" w:hAnsi="Times New Roman"/>
          <w:b/>
          <w:bCs/>
          <w:sz w:val="24"/>
          <w:szCs w:val="24"/>
        </w:rPr>
        <w:t>PROGRAMSKO I OSTALO FINANCIRANJE JAVNIH VISOKIH UČILIŠTA   – IZ EVIDENCIJSKIH PRIHODA</w:t>
      </w:r>
    </w:p>
    <w:p w14:paraId="52E573B8" w14:textId="77777777" w:rsidR="00BC42A0" w:rsidRPr="00BC42A0" w:rsidRDefault="00BC42A0" w:rsidP="00BC42A0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795340F" w14:textId="77777777" w:rsidR="00BC42A0" w:rsidRPr="00BC42A0" w:rsidRDefault="00BC42A0" w:rsidP="00BC42A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C42A0">
        <w:rPr>
          <w:rFonts w:ascii="Times New Roman" w:eastAsia="Times New Roman" w:hAnsi="Times New Roman"/>
          <w:bCs/>
          <w:sz w:val="24"/>
          <w:szCs w:val="24"/>
        </w:rPr>
        <w:t>Zakonske i druge pravne osnove:</w:t>
      </w:r>
    </w:p>
    <w:p w14:paraId="41FAF19A" w14:textId="77777777" w:rsidR="00BC42A0" w:rsidRPr="00BC42A0" w:rsidRDefault="00BC42A0" w:rsidP="00BC42A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31365BB" w14:textId="77777777" w:rsidR="00BC42A0" w:rsidRPr="00BC42A0" w:rsidRDefault="00BC42A0" w:rsidP="00BC42A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C42A0">
        <w:rPr>
          <w:rFonts w:ascii="Times New Roman" w:hAnsi="Times New Roman"/>
          <w:bCs/>
          <w:sz w:val="24"/>
          <w:szCs w:val="24"/>
        </w:rPr>
        <w:t xml:space="preserve">Zakon o znanstvenoj djelatnosti i visokom obrazovanju, Zakon o javnoj nabavi, Zakon o radu, Zakon o porezu na dodanu vrijednost, Zakon o osiguranju kvalitete u znanosti i visokom obrazovanju Kolektivni ugovor za znanost i visoko obrazovanje, </w:t>
      </w:r>
      <w:r w:rsidRPr="00BC42A0">
        <w:rPr>
          <w:rFonts w:ascii="Times New Roman" w:eastAsia="Times New Roman" w:hAnsi="Times New Roman"/>
          <w:sz w:val="24"/>
          <w:szCs w:val="24"/>
          <w:lang w:eastAsia="hr-HR"/>
        </w:rPr>
        <w:t xml:space="preserve">Pravilnik o planiranju u sustavu proračuna, Pravilnik o proračunskom računovodstvu i Računskom planu, Pravilnik o proračunskim klasifikacijama, Pravilnik o korištenju sredstava Europske unije, </w:t>
      </w:r>
      <w:r w:rsidRPr="00BC42A0">
        <w:rPr>
          <w:rFonts w:ascii="Times New Roman" w:eastAsia="Times New Roman" w:hAnsi="Times New Roman"/>
          <w:bCs/>
          <w:sz w:val="24"/>
          <w:szCs w:val="24"/>
        </w:rPr>
        <w:t>Pravilnik o mjerilima i načinu korištenja vlastitih i namjenskih prihoda, Upute za izradu financijskog plana razdjela 080 – Ministarstvo znanosti, obrazovanja i mladih  za razdoblje 2026. – 2028., Upute za izradu prijedloga financijskog plana Sveučilišta u Zagrebu za razdoblje 2026. – 2028.</w:t>
      </w:r>
    </w:p>
    <w:p w14:paraId="2A328709" w14:textId="77777777" w:rsidR="00BC42A0" w:rsidRPr="00BC42A0" w:rsidRDefault="00BC42A0" w:rsidP="00BC42A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247"/>
        <w:gridCol w:w="1284"/>
        <w:gridCol w:w="1536"/>
        <w:gridCol w:w="1476"/>
        <w:gridCol w:w="1476"/>
        <w:gridCol w:w="1476"/>
        <w:gridCol w:w="1144"/>
      </w:tblGrid>
      <w:tr w:rsidR="00BC42A0" w:rsidRPr="00BC42A0" w14:paraId="5A0E7223" w14:textId="77777777" w:rsidTr="00802A3F">
        <w:trPr>
          <w:trHeight w:val="60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31E69" w14:textId="77777777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A08D" w14:textId="77777777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Izvršenje 2024.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6052F" w14:textId="77777777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Plan 2025.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1AC40" w14:textId="77777777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Plan 2026.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9D45C" w14:textId="77777777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Plan 2027.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04C7B4" w14:textId="77777777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Plan 2028.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E2F03" w14:textId="77777777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Indeks 26./25.</w:t>
            </w:r>
          </w:p>
        </w:tc>
      </w:tr>
      <w:tr w:rsidR="00BC42A0" w:rsidRPr="00BC42A0" w14:paraId="24DDE9A3" w14:textId="77777777" w:rsidTr="00802A3F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7FDA" w14:textId="2EE205B2" w:rsidR="00BC42A0" w:rsidRPr="00BC42A0" w:rsidRDefault="00FE0ABD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  <w:r w:rsidRPr="00FE0A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679135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D7EB" w14:textId="5732CA96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4.326.410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0075" w14:textId="39C4BCAB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3.871.547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30D2" w14:textId="43A1B99C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4.186.180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9121" w14:textId="6B42428B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3.237.797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523E" w14:textId="3460757C" w:rsidR="00BC42A0" w:rsidRPr="00BC42A0" w:rsidRDefault="00BC42A0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A0">
              <w:rPr>
                <w:rFonts w:ascii="Times New Roman" w:eastAsia="Times New Roman" w:hAnsi="Times New Roman"/>
                <w:sz w:val="24"/>
                <w:szCs w:val="24"/>
              </w:rPr>
              <w:t>2.753.681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D14B" w14:textId="3ACF0991" w:rsidR="00BC42A0" w:rsidRPr="00BC42A0" w:rsidRDefault="00751907" w:rsidP="00BC42A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108,13</w:t>
            </w:r>
          </w:p>
        </w:tc>
      </w:tr>
    </w:tbl>
    <w:p w14:paraId="7058DF50" w14:textId="77777777" w:rsidR="00BC42A0" w:rsidRPr="00BC42A0" w:rsidRDefault="00BC42A0" w:rsidP="00BC42A0">
      <w:pPr>
        <w:jc w:val="both"/>
        <w:rPr>
          <w:rFonts w:ascii="Times New Roman" w:eastAsia="Times New Roman" w:hAnsi="Times New Roman"/>
          <w:bCs/>
          <w:color w:val="FF0000"/>
          <w:sz w:val="24"/>
          <w:szCs w:val="24"/>
        </w:rPr>
      </w:pPr>
    </w:p>
    <w:p w14:paraId="4302E714" w14:textId="77777777" w:rsidR="00DB2B6F" w:rsidRDefault="00DB2B6F" w:rsidP="00BC42A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C7BFCBF" w14:textId="2DD0EC38" w:rsidR="00BC42A0" w:rsidRPr="00BC42A0" w:rsidRDefault="00BC42A0" w:rsidP="00BC42A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C42A0">
        <w:rPr>
          <w:rFonts w:ascii="Times New Roman" w:eastAsia="Times New Roman" w:hAnsi="Times New Roman"/>
          <w:bCs/>
          <w:sz w:val="24"/>
          <w:szCs w:val="24"/>
        </w:rPr>
        <w:t>Ova aktivnost provodi se iz izvora financiranja: 31, 43, 50,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51, i 53.</w:t>
      </w:r>
      <w:r w:rsidRPr="00BC42A0">
        <w:rPr>
          <w:rFonts w:ascii="Times New Roman" w:eastAsia="Times New Roman" w:hAnsi="Times New Roman"/>
          <w:bCs/>
          <w:sz w:val="24"/>
          <w:szCs w:val="24"/>
        </w:rPr>
        <w:t xml:space="preserve"> Izvršenje rashoda s navedenih aktivnosti provodi se s računa proračunskog korisnika (Fakulteta), a evidencija u sustavu državne riznice o ostvarenju i trošenju vlastitih i namjenskih prihoda i primitaka provodi se na temelju mjesečnih izvještaja korisnika (evidencijski prihodi).</w:t>
      </w:r>
    </w:p>
    <w:p w14:paraId="5D61D17F" w14:textId="77777777" w:rsidR="007B5742" w:rsidRPr="007B5742" w:rsidRDefault="007B5742" w:rsidP="007B5742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</w:p>
    <w:p w14:paraId="0CAEE90E" w14:textId="77777777" w:rsidR="007B5742" w:rsidRPr="007B5742" w:rsidRDefault="007B5742" w:rsidP="007B5742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  <w:r w:rsidRPr="007B5742">
        <w:rPr>
          <w:rFonts w:ascii="Times New Roman" w:eastAsia="Arial" w:hAnsi="Times New Roman"/>
          <w:sz w:val="24"/>
          <w:szCs w:val="24"/>
        </w:rPr>
        <w:t xml:space="preserve">31 Vlastiti prihodi </w:t>
      </w:r>
    </w:p>
    <w:p w14:paraId="1021931E" w14:textId="1D571323" w:rsidR="007B5742" w:rsidRPr="00560162" w:rsidRDefault="007B5742" w:rsidP="007B5742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  <w:r w:rsidRPr="007B5742">
        <w:rPr>
          <w:rFonts w:ascii="Times New Roman" w:eastAsia="Arial" w:hAnsi="Times New Roman"/>
          <w:sz w:val="24"/>
          <w:szCs w:val="24"/>
        </w:rPr>
        <w:t>Fakultet ostvaruje vlastite prihode od tečajeva stalnog usavršavanja i programa cjeloživotnog obrazovanja koje izvode Centar za strane jezike</w:t>
      </w:r>
      <w:r w:rsidR="006C29A5">
        <w:rPr>
          <w:rFonts w:ascii="Times New Roman" w:eastAsia="Arial" w:hAnsi="Times New Roman"/>
          <w:sz w:val="24"/>
          <w:szCs w:val="24"/>
        </w:rPr>
        <w:t xml:space="preserve">, </w:t>
      </w:r>
      <w:r w:rsidRPr="007B5742">
        <w:rPr>
          <w:rFonts w:ascii="Times New Roman" w:eastAsia="Arial" w:hAnsi="Times New Roman"/>
          <w:sz w:val="24"/>
          <w:szCs w:val="24"/>
        </w:rPr>
        <w:t>Croaticum – Centar za hrvatski kao drugi i strani jezik</w:t>
      </w:r>
      <w:r w:rsidR="006C29A5">
        <w:rPr>
          <w:rFonts w:ascii="Times New Roman" w:eastAsia="Arial" w:hAnsi="Times New Roman"/>
          <w:sz w:val="24"/>
          <w:szCs w:val="24"/>
        </w:rPr>
        <w:t xml:space="preserve"> i</w:t>
      </w:r>
      <w:r w:rsidR="006C29A5" w:rsidRPr="006C29A5">
        <w:rPr>
          <w:rFonts w:ascii="Times New Roman" w:eastAsia="Calibri" w:hAnsi="Times New Roman"/>
          <w:bCs/>
          <w:sz w:val="24"/>
          <w:szCs w:val="24"/>
        </w:rPr>
        <w:t xml:space="preserve"> Centar za obrazovanje nastavnika.</w:t>
      </w:r>
      <w:r w:rsidR="006C29A5">
        <w:rPr>
          <w:rFonts w:ascii="Times New Roman" w:eastAsia="Arial" w:hAnsi="Times New Roman"/>
          <w:sz w:val="24"/>
          <w:szCs w:val="24"/>
        </w:rPr>
        <w:t xml:space="preserve"> </w:t>
      </w:r>
      <w:r w:rsidRPr="007B5742">
        <w:rPr>
          <w:rFonts w:ascii="Times New Roman" w:eastAsia="Arial" w:hAnsi="Times New Roman"/>
          <w:sz w:val="24"/>
          <w:szCs w:val="24"/>
        </w:rPr>
        <w:t>Prihod</w:t>
      </w:r>
      <w:r w:rsidR="006C29A5">
        <w:rPr>
          <w:rFonts w:ascii="Times New Roman" w:eastAsia="Arial" w:hAnsi="Times New Roman"/>
          <w:sz w:val="24"/>
          <w:szCs w:val="24"/>
        </w:rPr>
        <w:t>e</w:t>
      </w:r>
      <w:r w:rsidRPr="007B5742">
        <w:rPr>
          <w:rFonts w:ascii="Times New Roman" w:eastAsia="Arial" w:hAnsi="Times New Roman"/>
          <w:sz w:val="24"/>
          <w:szCs w:val="24"/>
        </w:rPr>
        <w:t xml:space="preserve"> fakultet ostvaruje i od stručnih projekata, elaborata, ekspertiza i ostalih sličnih poslova, nakladničke djelatnosti,</w:t>
      </w:r>
      <w:r w:rsidR="006C29A5" w:rsidRPr="006C29A5">
        <w:rPr>
          <w:rFonts w:ascii="Times New Roman" w:hAnsi="Times New Roman"/>
          <w:bCs/>
          <w:sz w:val="24"/>
          <w:szCs w:val="24"/>
        </w:rPr>
        <w:t xml:space="preserve"> </w:t>
      </w:r>
      <w:r w:rsidR="006C29A5">
        <w:rPr>
          <w:rFonts w:ascii="Times New Roman" w:hAnsi="Times New Roman"/>
          <w:bCs/>
          <w:sz w:val="24"/>
          <w:szCs w:val="24"/>
        </w:rPr>
        <w:t xml:space="preserve">kotizacija, </w:t>
      </w:r>
      <w:r w:rsidRPr="007B5742">
        <w:rPr>
          <w:rFonts w:ascii="Times New Roman" w:eastAsia="Arial" w:hAnsi="Times New Roman"/>
          <w:sz w:val="24"/>
          <w:szCs w:val="24"/>
        </w:rPr>
        <w:t>iznajmljivanj</w:t>
      </w:r>
      <w:r w:rsidR="00711119">
        <w:rPr>
          <w:rFonts w:ascii="Times New Roman" w:eastAsia="Arial" w:hAnsi="Times New Roman"/>
          <w:sz w:val="24"/>
          <w:szCs w:val="24"/>
        </w:rPr>
        <w:t>a</w:t>
      </w:r>
      <w:r w:rsidRPr="007B5742">
        <w:rPr>
          <w:rFonts w:ascii="Times New Roman" w:eastAsia="Arial" w:hAnsi="Times New Roman"/>
          <w:sz w:val="24"/>
          <w:szCs w:val="24"/>
        </w:rPr>
        <w:t xml:space="preserve"> prostora, uslug</w:t>
      </w:r>
      <w:r w:rsidR="00711119">
        <w:rPr>
          <w:rFonts w:ascii="Times New Roman" w:eastAsia="Arial" w:hAnsi="Times New Roman"/>
          <w:sz w:val="24"/>
          <w:szCs w:val="24"/>
        </w:rPr>
        <w:t>a</w:t>
      </w:r>
      <w:r w:rsidRPr="007B5742">
        <w:rPr>
          <w:rFonts w:ascii="Times New Roman" w:eastAsia="Arial" w:hAnsi="Times New Roman"/>
          <w:sz w:val="24"/>
          <w:szCs w:val="24"/>
        </w:rPr>
        <w:t xml:space="preserve"> snimanja i drugih stručnih usluga. Iz ostvarenih prihoda podmiruju se materijalni troškovi koji su povezani sa izvođenjem tečaja i studija, rashoda za zaposlene koji su potrebni za obavljanje dopunske djelatnosti i ostalih troškova. </w:t>
      </w:r>
    </w:p>
    <w:p w14:paraId="73159D0B" w14:textId="77777777" w:rsidR="007B5742" w:rsidRPr="007B5742" w:rsidRDefault="007B5742" w:rsidP="007B5742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  <w:r w:rsidRPr="007B5742">
        <w:rPr>
          <w:rFonts w:ascii="Times New Roman" w:eastAsia="Arial" w:hAnsi="Times New Roman"/>
          <w:sz w:val="24"/>
          <w:szCs w:val="24"/>
        </w:rPr>
        <w:t>43 Ostali prihodi za posebne namjene</w:t>
      </w:r>
    </w:p>
    <w:p w14:paraId="1F36A336" w14:textId="7CA87E24" w:rsidR="007B5742" w:rsidRPr="007B5742" w:rsidRDefault="007B5742" w:rsidP="007B5742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  <w:r w:rsidRPr="007B5742">
        <w:rPr>
          <w:rFonts w:ascii="Times New Roman" w:eastAsia="Arial" w:hAnsi="Times New Roman"/>
          <w:sz w:val="24"/>
          <w:szCs w:val="24"/>
        </w:rPr>
        <w:t>Prihodi iz ovog izvora odnose na prihode ostvarene od participacije studenata kojima studenti sudjeluju u troškovima redovitih prijediplomskih i diplomskih studija, školarina od doktorskih studija</w:t>
      </w:r>
      <w:r w:rsidR="006C29A5">
        <w:rPr>
          <w:rFonts w:ascii="Times New Roman" w:eastAsia="Arial" w:hAnsi="Times New Roman"/>
          <w:sz w:val="24"/>
          <w:szCs w:val="24"/>
        </w:rPr>
        <w:t>, sveučilišnog specijalističkog studija</w:t>
      </w:r>
      <w:r w:rsidR="00D6558C">
        <w:rPr>
          <w:rFonts w:ascii="Times New Roman" w:eastAsia="Arial" w:hAnsi="Times New Roman"/>
          <w:sz w:val="24"/>
          <w:szCs w:val="24"/>
        </w:rPr>
        <w:t xml:space="preserve">, </w:t>
      </w:r>
      <w:r w:rsidRPr="007B5742">
        <w:rPr>
          <w:rFonts w:ascii="Times New Roman" w:eastAsia="Arial" w:hAnsi="Times New Roman"/>
          <w:sz w:val="24"/>
          <w:szCs w:val="24"/>
        </w:rPr>
        <w:t>izvanrednog studija bibliotekarstv</w:t>
      </w:r>
      <w:r w:rsidR="00D6558C">
        <w:rPr>
          <w:rFonts w:ascii="Times New Roman" w:eastAsia="Arial" w:hAnsi="Times New Roman"/>
          <w:sz w:val="24"/>
          <w:szCs w:val="24"/>
        </w:rPr>
        <w:t>a,</w:t>
      </w:r>
      <w:r w:rsidR="00D6558C" w:rsidRPr="00D6558C">
        <w:t xml:space="preserve"> </w:t>
      </w:r>
      <w:r w:rsidR="00D6558C" w:rsidRPr="00D6558C">
        <w:rPr>
          <w:rFonts w:ascii="Times New Roman" w:eastAsia="Arial" w:hAnsi="Times New Roman"/>
          <w:sz w:val="24"/>
          <w:szCs w:val="24"/>
        </w:rPr>
        <w:t>promocij</w:t>
      </w:r>
      <w:r w:rsidR="00D6558C">
        <w:rPr>
          <w:rFonts w:ascii="Times New Roman" w:eastAsia="Arial" w:hAnsi="Times New Roman"/>
          <w:sz w:val="24"/>
          <w:szCs w:val="24"/>
        </w:rPr>
        <w:t>a</w:t>
      </w:r>
      <w:r w:rsidR="00D6558C" w:rsidRPr="00D6558C">
        <w:rPr>
          <w:rFonts w:ascii="Times New Roman" w:eastAsia="Arial" w:hAnsi="Times New Roman"/>
          <w:sz w:val="24"/>
          <w:szCs w:val="24"/>
        </w:rPr>
        <w:t xml:space="preserve"> i provjer</w:t>
      </w:r>
      <w:r w:rsidR="00D6558C">
        <w:rPr>
          <w:rFonts w:ascii="Times New Roman" w:eastAsia="Arial" w:hAnsi="Times New Roman"/>
          <w:sz w:val="24"/>
          <w:szCs w:val="24"/>
        </w:rPr>
        <w:t>a</w:t>
      </w:r>
      <w:r w:rsidR="00D6558C" w:rsidRPr="00D6558C">
        <w:rPr>
          <w:rFonts w:ascii="Times New Roman" w:eastAsia="Arial" w:hAnsi="Times New Roman"/>
          <w:sz w:val="24"/>
          <w:szCs w:val="24"/>
        </w:rPr>
        <w:t xml:space="preserve"> vjerodostojnosti diploma</w:t>
      </w:r>
      <w:r w:rsidRPr="007B5742">
        <w:rPr>
          <w:rFonts w:ascii="Times New Roman" w:eastAsia="Arial" w:hAnsi="Times New Roman"/>
          <w:sz w:val="24"/>
          <w:szCs w:val="24"/>
        </w:rPr>
        <w:t>. Prihodi se koriste za podmirenje zajedničkih troškova Fakulteta koje se troše na materijalne rashode vezane uz rad organizacijskih  jedinica, rashode za zaposlene koji se ne financiraju iz Državnog proračuna i nabavu opreme. Prihodom od doktorskih studija</w:t>
      </w:r>
      <w:r w:rsidR="006C29A5">
        <w:rPr>
          <w:rFonts w:ascii="Times New Roman" w:eastAsia="Arial" w:hAnsi="Times New Roman"/>
          <w:sz w:val="24"/>
          <w:szCs w:val="24"/>
        </w:rPr>
        <w:t>,</w:t>
      </w:r>
      <w:r w:rsidR="006C29A5" w:rsidRPr="006C29A5">
        <w:rPr>
          <w:rFonts w:ascii="Times New Roman" w:eastAsia="Arial" w:hAnsi="Times New Roman"/>
          <w:sz w:val="24"/>
          <w:szCs w:val="24"/>
        </w:rPr>
        <w:t xml:space="preserve"> </w:t>
      </w:r>
      <w:r w:rsidR="006C29A5">
        <w:rPr>
          <w:rFonts w:ascii="Times New Roman" w:eastAsia="Arial" w:hAnsi="Times New Roman"/>
          <w:sz w:val="24"/>
          <w:szCs w:val="24"/>
        </w:rPr>
        <w:t>sveučilišnog specijalističkog studija</w:t>
      </w:r>
      <w:r w:rsidR="006C29A5" w:rsidRPr="007B5742">
        <w:rPr>
          <w:rFonts w:ascii="Times New Roman" w:eastAsia="Arial" w:hAnsi="Times New Roman"/>
          <w:sz w:val="24"/>
          <w:szCs w:val="24"/>
        </w:rPr>
        <w:t xml:space="preserve"> i izvanrednog studija bibliotekarstvo</w:t>
      </w:r>
      <w:r w:rsidR="006C29A5">
        <w:rPr>
          <w:rFonts w:ascii="Times New Roman" w:eastAsia="Arial" w:hAnsi="Times New Roman"/>
          <w:sz w:val="24"/>
          <w:szCs w:val="24"/>
        </w:rPr>
        <w:t xml:space="preserve"> </w:t>
      </w:r>
      <w:r w:rsidRPr="007B5742">
        <w:rPr>
          <w:rFonts w:ascii="Times New Roman" w:eastAsia="Arial" w:hAnsi="Times New Roman"/>
          <w:sz w:val="24"/>
          <w:szCs w:val="24"/>
        </w:rPr>
        <w:t xml:space="preserve">podmiruju se materijalni troškovi povezani s izvođenjem programa i naknade za rad nastavnicima. </w:t>
      </w:r>
    </w:p>
    <w:p w14:paraId="61CD34A8" w14:textId="77777777" w:rsidR="00DB2B6F" w:rsidRDefault="00DB2B6F" w:rsidP="00DB2B6F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</w:p>
    <w:p w14:paraId="2C18CB45" w14:textId="6167AFB9" w:rsidR="00DB2B6F" w:rsidRDefault="007B5742" w:rsidP="00DB2B6F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  <w:r w:rsidRPr="007B5742">
        <w:rPr>
          <w:rFonts w:ascii="Times New Roman" w:eastAsia="Arial" w:hAnsi="Times New Roman"/>
          <w:sz w:val="24"/>
          <w:szCs w:val="24"/>
        </w:rPr>
        <w:lastRenderedPageBreak/>
        <w:t>5</w:t>
      </w:r>
      <w:r w:rsidR="00B62BFD">
        <w:rPr>
          <w:rFonts w:ascii="Times New Roman" w:eastAsia="Arial" w:hAnsi="Times New Roman"/>
          <w:sz w:val="24"/>
          <w:szCs w:val="24"/>
        </w:rPr>
        <w:t>0</w:t>
      </w:r>
      <w:r w:rsidRPr="007B5742">
        <w:rPr>
          <w:rFonts w:ascii="Times New Roman" w:eastAsia="Arial" w:hAnsi="Times New Roman"/>
          <w:sz w:val="24"/>
          <w:szCs w:val="24"/>
        </w:rPr>
        <w:t xml:space="preserve"> </w:t>
      </w:r>
      <w:r w:rsidR="00B62BFD">
        <w:rPr>
          <w:rFonts w:ascii="Times New Roman" w:eastAsia="Arial" w:hAnsi="Times New Roman"/>
          <w:sz w:val="24"/>
          <w:szCs w:val="24"/>
        </w:rPr>
        <w:t>Pomoći iz DP</w:t>
      </w:r>
    </w:p>
    <w:p w14:paraId="45D8EB8A" w14:textId="77777777" w:rsidR="00DB2B6F" w:rsidRDefault="00DB2B6F" w:rsidP="00DB2B6F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</w:p>
    <w:p w14:paraId="1FC29871" w14:textId="3394F0FA" w:rsidR="00B62BFD" w:rsidRDefault="007B5742" w:rsidP="00DB2B6F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  <w:r w:rsidRPr="007B5742">
        <w:rPr>
          <w:rFonts w:ascii="Times New Roman" w:eastAsia="Arial" w:hAnsi="Times New Roman"/>
          <w:sz w:val="24"/>
          <w:szCs w:val="24"/>
        </w:rPr>
        <w:t>Prihod iz izvora 5</w:t>
      </w:r>
      <w:r w:rsidR="00B62BFD">
        <w:rPr>
          <w:rFonts w:ascii="Times New Roman" w:eastAsia="Arial" w:hAnsi="Times New Roman"/>
          <w:sz w:val="24"/>
          <w:szCs w:val="24"/>
        </w:rPr>
        <w:t>0</w:t>
      </w:r>
      <w:r w:rsidRPr="007B5742">
        <w:rPr>
          <w:rFonts w:ascii="Times New Roman" w:eastAsia="Arial" w:hAnsi="Times New Roman"/>
          <w:sz w:val="24"/>
          <w:szCs w:val="24"/>
        </w:rPr>
        <w:t xml:space="preserve"> odnose na prihode od Hrvatske zaklade za znanost (HRZZ) za projektno</w:t>
      </w:r>
      <w:r w:rsidR="00DB2B6F">
        <w:rPr>
          <w:rFonts w:ascii="Times New Roman" w:eastAsia="Arial" w:hAnsi="Times New Roman"/>
          <w:sz w:val="24"/>
          <w:szCs w:val="24"/>
        </w:rPr>
        <w:t xml:space="preserve"> </w:t>
      </w:r>
      <w:r w:rsidRPr="007B5742">
        <w:rPr>
          <w:rFonts w:ascii="Times New Roman" w:eastAsia="Arial" w:hAnsi="Times New Roman"/>
          <w:sz w:val="24"/>
          <w:szCs w:val="24"/>
        </w:rPr>
        <w:t>financiranje znanstvene djelatnosti te financiranje doktoranada i poslijedoktoranada zaposlenih na teret HRZZ-a. Od navedenih prihoda financiraju se rashodi za zaposlene na projektu i materijalni</w:t>
      </w:r>
      <w:r w:rsidR="00B62BFD">
        <w:rPr>
          <w:rFonts w:ascii="Times New Roman" w:eastAsia="Arial" w:hAnsi="Times New Roman"/>
          <w:sz w:val="24"/>
          <w:szCs w:val="24"/>
        </w:rPr>
        <w:t xml:space="preserve"> </w:t>
      </w:r>
      <w:r w:rsidRPr="007B5742">
        <w:rPr>
          <w:rFonts w:ascii="Times New Roman" w:eastAsia="Arial" w:hAnsi="Times New Roman"/>
          <w:sz w:val="24"/>
          <w:szCs w:val="24"/>
        </w:rPr>
        <w:t>troškovi koji su potrebni za izvođenje projek</w:t>
      </w:r>
      <w:r w:rsidR="007555FB">
        <w:rPr>
          <w:rFonts w:ascii="Times New Roman" w:eastAsia="Arial" w:hAnsi="Times New Roman"/>
          <w:sz w:val="24"/>
          <w:szCs w:val="24"/>
        </w:rPr>
        <w:t>ta</w:t>
      </w:r>
      <w:r w:rsidRPr="007B5742">
        <w:rPr>
          <w:rFonts w:ascii="Times New Roman" w:eastAsia="Arial" w:hAnsi="Times New Roman"/>
          <w:sz w:val="24"/>
          <w:szCs w:val="24"/>
        </w:rPr>
        <w:t xml:space="preserve">. </w:t>
      </w:r>
      <w:r w:rsidR="00351788">
        <w:rPr>
          <w:rFonts w:ascii="Times New Roman" w:eastAsia="Arial" w:hAnsi="Times New Roman"/>
          <w:sz w:val="24"/>
          <w:szCs w:val="24"/>
        </w:rPr>
        <w:t>Također, na izvoru 5</w:t>
      </w:r>
      <w:r w:rsidR="00B62BFD">
        <w:rPr>
          <w:rFonts w:ascii="Times New Roman" w:eastAsia="Arial" w:hAnsi="Times New Roman"/>
          <w:sz w:val="24"/>
          <w:szCs w:val="24"/>
        </w:rPr>
        <w:t>0</w:t>
      </w:r>
      <w:r w:rsidR="00351788">
        <w:rPr>
          <w:rFonts w:ascii="Times New Roman" w:eastAsia="Arial" w:hAnsi="Times New Roman"/>
          <w:sz w:val="24"/>
          <w:szCs w:val="24"/>
        </w:rPr>
        <w:t xml:space="preserve"> prikaz</w:t>
      </w:r>
      <w:r w:rsidR="00A61E52">
        <w:rPr>
          <w:rFonts w:ascii="Times New Roman" w:eastAsia="Arial" w:hAnsi="Times New Roman"/>
          <w:sz w:val="24"/>
          <w:szCs w:val="24"/>
        </w:rPr>
        <w:t>a</w:t>
      </w:r>
      <w:r w:rsidR="00351788">
        <w:rPr>
          <w:rFonts w:ascii="Times New Roman" w:eastAsia="Arial" w:hAnsi="Times New Roman"/>
          <w:sz w:val="24"/>
          <w:szCs w:val="24"/>
        </w:rPr>
        <w:t>ni su prihodi i od</w:t>
      </w:r>
      <w:r w:rsidR="00B62BFD">
        <w:rPr>
          <w:rFonts w:ascii="Times New Roman" w:eastAsia="Arial" w:hAnsi="Times New Roman"/>
          <w:sz w:val="24"/>
          <w:szCs w:val="24"/>
        </w:rPr>
        <w:t xml:space="preserve"> </w:t>
      </w:r>
      <w:r w:rsidR="00351788">
        <w:rPr>
          <w:rFonts w:ascii="Times New Roman" w:hAnsi="Times New Roman"/>
          <w:bCs/>
          <w:sz w:val="24"/>
          <w:szCs w:val="24"/>
        </w:rPr>
        <w:t>Ministarstv</w:t>
      </w:r>
      <w:r w:rsidR="007555FB">
        <w:rPr>
          <w:rFonts w:ascii="Times New Roman" w:hAnsi="Times New Roman"/>
          <w:bCs/>
          <w:sz w:val="24"/>
          <w:szCs w:val="24"/>
        </w:rPr>
        <w:t>a</w:t>
      </w:r>
      <w:r w:rsidR="00351788">
        <w:rPr>
          <w:rFonts w:ascii="Times New Roman" w:hAnsi="Times New Roman"/>
          <w:bCs/>
          <w:sz w:val="24"/>
          <w:szCs w:val="24"/>
        </w:rPr>
        <w:t xml:space="preserve"> znanosti, obrazovanja i mladih koji financira lektorsku djelatnost</w:t>
      </w:r>
      <w:r w:rsidR="008E79E7">
        <w:rPr>
          <w:rFonts w:ascii="Times New Roman" w:hAnsi="Times New Roman"/>
          <w:bCs/>
          <w:sz w:val="24"/>
          <w:szCs w:val="24"/>
        </w:rPr>
        <w:t>.</w:t>
      </w:r>
      <w:r w:rsidR="00351788">
        <w:rPr>
          <w:rFonts w:ascii="Times New Roman" w:hAnsi="Times New Roman"/>
          <w:bCs/>
          <w:sz w:val="24"/>
          <w:szCs w:val="24"/>
        </w:rPr>
        <w:t xml:space="preserve"> </w:t>
      </w:r>
      <w:r w:rsidR="00050C3D">
        <w:rPr>
          <w:rFonts w:ascii="Times New Roman" w:hAnsi="Times New Roman"/>
          <w:bCs/>
          <w:sz w:val="24"/>
          <w:szCs w:val="24"/>
        </w:rPr>
        <w:t xml:space="preserve">Iz donosa su planirani </w:t>
      </w:r>
      <w:r w:rsidR="00050C3D" w:rsidRPr="00050C3D">
        <w:rPr>
          <w:rFonts w:ascii="Times New Roman" w:hAnsi="Times New Roman"/>
          <w:bCs/>
          <w:sz w:val="24"/>
          <w:szCs w:val="24"/>
        </w:rPr>
        <w:t>rashodi za europsku istraživačku infrastrukturu ESS ERIC u koji je uključen Filozofski fakultet.</w:t>
      </w:r>
    </w:p>
    <w:p w14:paraId="73ED715F" w14:textId="77777777" w:rsidR="00DB2B6F" w:rsidRPr="00DB2B6F" w:rsidRDefault="00DB2B6F" w:rsidP="00DB2B6F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</w:p>
    <w:p w14:paraId="5298F7CB" w14:textId="77777777" w:rsidR="007B5742" w:rsidRPr="007B5742" w:rsidRDefault="007B5742" w:rsidP="007B5742">
      <w:pPr>
        <w:framePr w:hSpace="180" w:wrap="around" w:vAnchor="page" w:hAnchor="margin" w:y="1561"/>
        <w:ind w:right="6"/>
        <w:rPr>
          <w:rFonts w:eastAsia="Times New Roman" w:cs="Calibri"/>
          <w:sz w:val="24"/>
          <w:szCs w:val="24"/>
          <w:lang w:eastAsia="hr-HR"/>
        </w:rPr>
      </w:pPr>
    </w:p>
    <w:p w14:paraId="42611B30" w14:textId="03755799" w:rsidR="007555FB" w:rsidRDefault="001B2BFB" w:rsidP="00050C3D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  <w:r w:rsidRPr="001B2BFB">
        <w:rPr>
          <w:rFonts w:ascii="Times New Roman" w:eastAsia="Arial" w:hAnsi="Times New Roman"/>
          <w:sz w:val="24"/>
          <w:szCs w:val="24"/>
        </w:rPr>
        <w:t>Izvor 51 Pomoći EU</w:t>
      </w:r>
    </w:p>
    <w:p w14:paraId="47AE4A98" w14:textId="2829571B" w:rsidR="00050C3D" w:rsidRPr="001B2BFB" w:rsidRDefault="00050C3D" w:rsidP="00050C3D">
      <w:pPr>
        <w:spacing w:after="176" w:line="252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Planirani su slijedeći projekti:</w:t>
      </w:r>
    </w:p>
    <w:p w14:paraId="2DAEEA8C" w14:textId="77777777" w:rsidR="00A43157" w:rsidRDefault="00A43157" w:rsidP="00A43157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B5742">
        <w:rPr>
          <w:rFonts w:ascii="Times New Roman" w:eastAsia="Calibri" w:hAnsi="Times New Roman"/>
          <w:b/>
          <w:bCs/>
          <w:sz w:val="24"/>
          <w:szCs w:val="24"/>
        </w:rPr>
        <w:t>Naziv projekta: DIAMAS - Developing Institutional open Access publishing Models to Advance Scholarly communication</w:t>
      </w:r>
    </w:p>
    <w:p w14:paraId="7CE6F691" w14:textId="3DE8A172" w:rsidR="008079F0" w:rsidRPr="00D9049B" w:rsidRDefault="008079F0" w:rsidP="008079F0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049B">
        <w:rPr>
          <w:rFonts w:ascii="Times New Roman" w:eastAsia="Calibri" w:hAnsi="Times New Roman"/>
          <w:sz w:val="24"/>
          <w:szCs w:val="24"/>
        </w:rPr>
        <w:t>DIAMAS okuplja 23 organizacije iz 12 europskih zemalja, dobro upućene u otvoreni pristup akademskog izdavaštva i znanstvene komunikacije. Projekt će: 1. Mapirati t</w:t>
      </w:r>
      <w:r w:rsidR="00A61E52">
        <w:rPr>
          <w:rFonts w:ascii="Times New Roman" w:eastAsia="Calibri" w:hAnsi="Times New Roman"/>
          <w:sz w:val="24"/>
          <w:szCs w:val="24"/>
        </w:rPr>
        <w:t>r</w:t>
      </w:r>
      <w:r w:rsidRPr="00D9049B">
        <w:rPr>
          <w:rFonts w:ascii="Times New Roman" w:eastAsia="Calibri" w:hAnsi="Times New Roman"/>
          <w:sz w:val="24"/>
          <w:szCs w:val="24"/>
        </w:rPr>
        <w:t>enutni sadržaj institucionalnih pružatelja izdavačkih usluga(IPSP) u 25 zemalja ERAe s posebnom pažnjom na IPSP-ove koji ne naplaćuju naknade za objavljivanje ili čitanje. To će dati taksonomiju IPSP-ova i izvješće IPSP sadržaja , osnovu za ostatak projekta. 2. Koordinirati i poboljšati učinkovitost i kvalitetu IPSP-ova razvojem europskog standarda kvalitete za institucionalno izdavaštvo(EQSIP). Ovaj pečat kvalitete profesionalizirat će, ojačati i smanjiti razilaženje institucionalnog izdavaštva u Europi. EQSIP će služiti kao mjerilo za analizu nedostataka podataka. Kupnja i izgradnja kapaciteta osigurani su zajedničkim stvaranjem s relevantnim IPSP zajednicama prakse, stvaranjem zajedničkog pristupa. Točka za IPSP-ove, IPSP registar s 80% IPSP-ova u ERA-i, smjernice za objavljivanje, materijali za obuku, alati za samoprocjenu, financijski modeli i okviri zajedničkih troškova. DIAMAS prihvaća raznolikost, jednakost i uključenost baveći se rodnom ravnopravnošću u OA izdavaštvu i višejezičnost u 15 europskih jezika. Posebna pozornost posvećena je izgradnji i omogućavanju financijske održivosti IPSP-ova. 3. Formulirati djelotvorne preporuke i strategije koje vodi zajednica za čelnike institucija, investitore/sponzore/donatore i kreatori politika u Europskom istraživačkom prostoru(ERA). Radionice i ciljane aktivnosti umrežavanja doprinijet će i uključiti institucije.</w:t>
      </w:r>
    </w:p>
    <w:p w14:paraId="438E23AB" w14:textId="77777777" w:rsidR="008079F0" w:rsidRPr="00D9049B" w:rsidRDefault="008079F0" w:rsidP="008079F0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049B">
        <w:rPr>
          <w:rFonts w:ascii="Times New Roman" w:eastAsia="Calibri" w:hAnsi="Times New Roman"/>
          <w:sz w:val="24"/>
          <w:szCs w:val="24"/>
        </w:rPr>
        <w:t>U 36 mjeseci trajanja projekta, DIAMAS će isporučiti usklađen, visokokvalitetan i održiv institucionalni sustav OA znanstvenih publikacija za ERA-u, postaviti novi standard za OA objavljivanje, podijeljen i zajednički dizajniran sa svim dionicima.</w:t>
      </w:r>
    </w:p>
    <w:p w14:paraId="3EFB2EDD" w14:textId="77777777" w:rsidR="008079F0" w:rsidRPr="00FB43C4" w:rsidRDefault="008079F0" w:rsidP="008079F0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B43C4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4541A2A9" w14:textId="77777777" w:rsidR="008079F0" w:rsidRPr="00D9049B" w:rsidRDefault="008079F0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049B">
        <w:rPr>
          <w:rFonts w:ascii="Times New Roman" w:eastAsia="Calibri" w:hAnsi="Times New Roman"/>
          <w:sz w:val="24"/>
          <w:szCs w:val="24"/>
        </w:rPr>
        <w:t>Opći cilj DIAMAS-a je pružiti istraživačkoj zajednici usklađen, visokokvalitetan i održivi sustav znanstvene komunikacije, sposoban implementirati OA kao standardnu publikaciju praksi diljem ERA-e. Nadalje, specifični ciljevi su:</w:t>
      </w:r>
    </w:p>
    <w:p w14:paraId="020A0716" w14:textId="77777777" w:rsidR="008079F0" w:rsidRPr="00D9049B" w:rsidRDefault="008079F0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049B">
        <w:rPr>
          <w:rFonts w:ascii="Times New Roman" w:eastAsia="Calibri" w:hAnsi="Times New Roman"/>
          <w:sz w:val="24"/>
          <w:szCs w:val="24"/>
        </w:rPr>
        <w:t>1. Stjecanje znanja o institucionalnom OA izdavačkom krajoliku (uključujući usluge i infrastrukturu koja podržava);</w:t>
      </w:r>
    </w:p>
    <w:p w14:paraId="55BE9ABA" w14:textId="77777777" w:rsidR="008079F0" w:rsidRPr="00D9049B" w:rsidRDefault="008079F0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049B">
        <w:rPr>
          <w:rFonts w:ascii="Times New Roman" w:eastAsia="Calibri" w:hAnsi="Times New Roman"/>
          <w:sz w:val="24"/>
          <w:szCs w:val="24"/>
        </w:rPr>
        <w:t>2. Standardizirati i poboljšati postojeće institucionalne izdavačke prakse;</w:t>
      </w:r>
    </w:p>
    <w:p w14:paraId="0C42B335" w14:textId="77777777" w:rsidR="008079F0" w:rsidRPr="00D9049B" w:rsidRDefault="008079F0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049B">
        <w:rPr>
          <w:rFonts w:ascii="Times New Roman" w:eastAsia="Calibri" w:hAnsi="Times New Roman"/>
          <w:sz w:val="24"/>
          <w:szCs w:val="24"/>
        </w:rPr>
        <w:t>3. Povećati kapacitete IPSP-ova,</w:t>
      </w:r>
    </w:p>
    <w:p w14:paraId="75E1B65E" w14:textId="77777777" w:rsidR="008079F0" w:rsidRDefault="008079F0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9049B">
        <w:rPr>
          <w:rFonts w:ascii="Times New Roman" w:eastAsia="Calibri" w:hAnsi="Times New Roman"/>
          <w:sz w:val="24"/>
          <w:szCs w:val="24"/>
        </w:rPr>
        <w:t>4. Dati podršku politikama i strategijama.</w:t>
      </w:r>
    </w:p>
    <w:p w14:paraId="5CEE692C" w14:textId="77777777" w:rsidR="00CE2B3E" w:rsidRPr="007B5742" w:rsidRDefault="00CE2B3E" w:rsidP="00D863BB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553E82C" w14:textId="77777777" w:rsidR="00E115B2" w:rsidRDefault="00E115B2" w:rsidP="001B2BFB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r w:rsidRPr="007B5742">
        <w:rPr>
          <w:rFonts w:ascii="Times New Roman" w:eastAsia="Calibri" w:hAnsi="Times New Roman"/>
          <w:b/>
          <w:bCs/>
          <w:sz w:val="24"/>
          <w:szCs w:val="24"/>
        </w:rPr>
        <w:lastRenderedPageBreak/>
        <w:t>Naziv projekta</w:t>
      </w:r>
      <w:r w:rsidRPr="007B5742">
        <w:rPr>
          <w:rFonts w:ascii="Times New Roman" w:eastAsia="Calibri" w:hAnsi="Times New Roman"/>
          <w:sz w:val="24"/>
          <w:szCs w:val="24"/>
        </w:rPr>
        <w:t xml:space="preserve">: </w:t>
      </w:r>
      <w:r w:rsidRPr="007B5742">
        <w:rPr>
          <w:rFonts w:ascii="Times New Roman" w:eastAsia="Calibri" w:hAnsi="Times New Roman"/>
          <w:b/>
          <w:bCs/>
          <w:sz w:val="24"/>
          <w:szCs w:val="24"/>
          <w:lang w:val="en-US"/>
        </w:rPr>
        <w:t>e-SL4EU – e-Service Learning for more digital and inclusive EU Higher Education systems</w:t>
      </w:r>
    </w:p>
    <w:p w14:paraId="4E0EBB1B" w14:textId="77777777" w:rsidR="00E115B2" w:rsidRPr="007B5742" w:rsidRDefault="00E115B2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Projekt ima za cilj razviti treću misiju sveučilišta kroz njihov angažman u zajednici. Projekt uključuje izradu skupa alata i specifičnih znanja namijenjenih predavačima/profesorima na visokim učilištima i studentima s ciljem promicanja promjene tradicionalnog asistivnog modela društveno korisnog učenja u horizontalni model solidarnosti te distribucije znanja o metodologijama e-društveno korisnog učenja.</w:t>
      </w:r>
    </w:p>
    <w:p w14:paraId="262CE7E8" w14:textId="77777777" w:rsidR="00E115B2" w:rsidRPr="007B5742" w:rsidRDefault="00E115B2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 xml:space="preserve">Ciljevi </w:t>
      </w:r>
      <w:r w:rsidRPr="007B5742">
        <w:rPr>
          <w:rFonts w:ascii="Times New Roman" w:eastAsia="Calibri" w:hAnsi="Times New Roman"/>
          <w:b/>
          <w:bCs/>
          <w:sz w:val="24"/>
          <w:szCs w:val="24"/>
        </w:rPr>
        <w:t>e-SL4EU</w:t>
      </w:r>
      <w:r w:rsidRPr="007B5742">
        <w:rPr>
          <w:rFonts w:ascii="Times New Roman" w:eastAsia="Calibri" w:hAnsi="Times New Roman"/>
          <w:sz w:val="24"/>
          <w:szCs w:val="24"/>
        </w:rPr>
        <w:t xml:space="preserve"> projekta su:</w:t>
      </w:r>
    </w:p>
    <w:p w14:paraId="5D989C74" w14:textId="77777777" w:rsidR="00DC2789" w:rsidRDefault="00E115B2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definirati principe dizajna i elemente kvalitete za izgradnju kolegija e-društveno korisnog učenja za sveučilišne nastavnike koji žele sa svojim studentima raditi na projektima e-društveno korisnog učenja,</w:t>
      </w:r>
    </w:p>
    <w:p w14:paraId="02905F1D" w14:textId="6F59A840" w:rsidR="00E115B2" w:rsidRPr="007B5742" w:rsidRDefault="00E115B2" w:rsidP="00CD313D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razvoj materijala za obuku sveučilišnih nastavnika koji su zainteresirani za uključivanje e-društveno korisnog učenja u svoj kurikul,</w:t>
      </w:r>
    </w:p>
    <w:p w14:paraId="779D96F3" w14:textId="77777777" w:rsidR="00E115B2" w:rsidRPr="007B5742" w:rsidRDefault="00E115B2" w:rsidP="00CD313D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pripremiti metodologije podučavanja za pomoć studentima u provođenju projekata e-društveno korisnog učenja koje su osmislili,</w:t>
      </w:r>
    </w:p>
    <w:p w14:paraId="73B4EA0D" w14:textId="77777777" w:rsidR="00E115B2" w:rsidRPr="007B5742" w:rsidRDefault="00E115B2" w:rsidP="00CD313D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razviti evaluacijsku metodologiju za procjenu ishoda učenja usmjerenu na podršku sveučilišnim nastavnicima u prepoznavanju i potvrđivanju studentskih vještina razvijenih tijekom izvođenja projekata e-društveno korisnog učenja</w:t>
      </w:r>
    </w:p>
    <w:p w14:paraId="18768155" w14:textId="7E83FCB7" w:rsidR="00D077E9" w:rsidRPr="007A2B2B" w:rsidRDefault="00E115B2" w:rsidP="00DC2789">
      <w:pPr>
        <w:spacing w:line="256" w:lineRule="auto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razviti evaluacijsku metodologiju i materijale za procjenu društvenog utjecaja projekata koja će kvantificirati društveni utjecaj stvoren zahvaljujući studentskim e-DKU projektima</w:t>
      </w:r>
    </w:p>
    <w:p w14:paraId="301E079B" w14:textId="77777777" w:rsidR="001B2BFB" w:rsidRDefault="001B2BFB" w:rsidP="00D53115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F71A6F7" w14:textId="77777777" w:rsidR="001B2BFB" w:rsidRDefault="00D53115" w:rsidP="001B2BFB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B5742">
        <w:rPr>
          <w:rFonts w:ascii="Times New Roman" w:eastAsia="Calibri" w:hAnsi="Times New Roman"/>
          <w:b/>
          <w:bCs/>
          <w:sz w:val="24"/>
          <w:szCs w:val="24"/>
        </w:rPr>
        <w:t>Naziv projekta: SLIDE (Service-Learning as a pedagogy to promote Inclusion, diversity, and Digital Empowerment)</w:t>
      </w:r>
    </w:p>
    <w:p w14:paraId="109A319B" w14:textId="7ECA3C20" w:rsidR="00D53115" w:rsidRPr="001B2BFB" w:rsidRDefault="00D53115" w:rsidP="001B2BFB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Projekt SLIDE isprepliće pedagogiju društveno korisnog učenja (SL) s digitalnim osnaživanjem (DE) u cilju promicanja inkluzije (I). SLIDE okuplja studente i profesore s raznih europskih sveučilišta kako bi se oslonili na postojeće prakse, razmijenili znanje i razvili najbolje prakse u zajednici i sa zajednicom, pri čemu svi postaju resursi za podučavanje i partneri. Svrha društveno korisnog učenja je usaditi osjećaj angažmana i odgovornosti kod studenata te ih motivirati na pozitivne društvene promjene, dok je svrha digitalnog osnaživanja učiniti pojedinca sposobnim za život s digitalnom tehnologijom, postavljajući tog pojedinca u središte podučavanja. U praksi, priroda SL i DE prilično je složena i podložna mnogim tumačenjima. Stoga ovaj projekt odgovara rastućoj potrebi za promicanjem međusobno povezanih sustava visokog obrazovanja, poticanjem inovativnih praksi učenja i poučavanja, digitalnog osnaživanja, inkluzije i raznolikosti te promicanjem društvenog poduzetništva.</w:t>
      </w:r>
    </w:p>
    <w:p w14:paraId="066DB518" w14:textId="77777777" w:rsidR="00D53115" w:rsidRPr="007B5742" w:rsidRDefault="00D53115" w:rsidP="00B52F8F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Ciljevi SLIDE projekta su:</w:t>
      </w:r>
    </w:p>
    <w:p w14:paraId="39C90C85" w14:textId="77777777" w:rsidR="00D53115" w:rsidRPr="007B5742" w:rsidRDefault="00D53115" w:rsidP="00B52F8F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kolektivno razumjeti i promovirati društveno korisno učenje (DKU) kao pedagoški pristup koji ugrađuje i razvija građanski angažman u visokom obrazovanju i široj zajednici u Europi;</w:t>
      </w:r>
    </w:p>
    <w:p w14:paraId="70F229FF" w14:textId="77777777" w:rsidR="00D53115" w:rsidRPr="007B5742" w:rsidRDefault="00D53115" w:rsidP="00B52F8F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opremiti studente digitalnim sposobnostima i vještinama potrebnim za upotrebu tehnologije na kreativne, kritične, kompetentne i inkluzivne načine (s posebnom pažnjom na promicanju rodne ravnopravnosti i digitalnog osnaživanja, rješavanju razlika u pristupu i upotrebi digitalnih izvora učenja kod studenata s invaliditetom i / ili poteškoćama u učenju, studenata migrantskog porijekla, nadarenih, onih u ruralnim sredinama, tj. kod nedovoljno zastupljenih skupina na koje DKU obično pozitivno utječe;</w:t>
      </w:r>
    </w:p>
    <w:p w14:paraId="15421A1E" w14:textId="77777777" w:rsidR="00D53115" w:rsidRPr="007B5742" w:rsidRDefault="00D53115" w:rsidP="00B52F8F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povećati kapacitet i spremnost nastavnika na visokim učilištima za učinkovit prelazak na digitalno obrazovanje, poticanje svrhovite upotrebe digitalnih tehnologija za poučavanje, učenje, ocjenjivanje i angažman, kao i razvoj digitalne pedagogije i stručnosti u korištenju digitalnih alata, uključujući pomoćne tehnologije te stvaranje i inovativno korištenje digitalnih obrazovnih sadržaja;</w:t>
      </w:r>
    </w:p>
    <w:p w14:paraId="23F0BBC1" w14:textId="77777777" w:rsidR="00D53115" w:rsidRPr="007B5742" w:rsidRDefault="00D53115" w:rsidP="00B52F8F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lastRenderedPageBreak/>
        <w:t>• stimulirati razvoj digitalnih vještina i kompetencija studenata kroz DKU aktivnosti koje se bave ljudskim, socijalnim i ekološkim potrebama iz perspektive socijalne pravde, integrirajući rad u zajednici s kurikulumom kako bi obogatili učenje na bilo kojoj sveučilišnoj razini, shvatili građansku odgovornost, i ojačali zajednice djelovanjem i kritičkim promišljanjem;</w:t>
      </w:r>
    </w:p>
    <w:p w14:paraId="655FA032" w14:textId="77777777" w:rsidR="00D53115" w:rsidRPr="007B5742" w:rsidRDefault="00D53115" w:rsidP="00B52F8F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• stvoriti paneuropsko središte koje će dati značajan doprinos širenju znanja o DKU u Europi i omogućiti kulturu promocije i javne artikulacije partnerstva sveučilišta i zajednice kroz DKU.</w:t>
      </w:r>
    </w:p>
    <w:p w14:paraId="59E7D6DF" w14:textId="77777777" w:rsidR="004320F0" w:rsidRDefault="004320F0" w:rsidP="00B52F8F">
      <w:pPr>
        <w:spacing w:line="256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1A9676B7" w14:textId="77777777" w:rsidR="00560162" w:rsidRDefault="00560162" w:rsidP="002D1F96">
      <w:pPr>
        <w:pStyle w:val="NoSpacing"/>
        <w:rPr>
          <w:rFonts w:ascii="Times New Roman" w:eastAsia="Calibri" w:hAnsi="Times New Roman"/>
          <w:b/>
          <w:sz w:val="24"/>
          <w:szCs w:val="24"/>
        </w:rPr>
      </w:pPr>
    </w:p>
    <w:p w14:paraId="6FBE8DB8" w14:textId="77777777" w:rsidR="00560162" w:rsidRDefault="00560162" w:rsidP="002D1F96">
      <w:pPr>
        <w:pStyle w:val="NoSpacing"/>
        <w:rPr>
          <w:rFonts w:ascii="Times New Roman" w:eastAsia="Calibri" w:hAnsi="Times New Roman"/>
          <w:b/>
          <w:sz w:val="24"/>
          <w:szCs w:val="24"/>
        </w:rPr>
      </w:pPr>
    </w:p>
    <w:p w14:paraId="6BEBEB17" w14:textId="195512CA" w:rsidR="002D1F96" w:rsidRPr="002D1F96" w:rsidRDefault="002D1F96" w:rsidP="002D1F96">
      <w:pPr>
        <w:pStyle w:val="NoSpacing"/>
        <w:rPr>
          <w:rFonts w:ascii="Times New Roman" w:hAnsi="Times New Roman"/>
          <w:b/>
          <w:sz w:val="24"/>
          <w:szCs w:val="24"/>
        </w:rPr>
      </w:pPr>
      <w:r w:rsidRPr="002D1F96">
        <w:rPr>
          <w:rFonts w:ascii="Times New Roman" w:eastAsia="Calibri" w:hAnsi="Times New Roman"/>
          <w:b/>
          <w:sz w:val="24"/>
          <w:szCs w:val="24"/>
        </w:rPr>
        <w:t xml:space="preserve">Naziv projekta: INTHRACE: </w:t>
      </w:r>
      <w:r w:rsidRPr="002D1F96">
        <w:rPr>
          <w:rFonts w:ascii="Times New Roman" w:hAnsi="Times New Roman"/>
          <w:b/>
          <w:sz w:val="24"/>
          <w:szCs w:val="24"/>
          <w:lang w:val="en-GB"/>
        </w:rPr>
        <w:t>"Civil engagement, integration and better management of the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2D1F96">
        <w:rPr>
          <w:rFonts w:ascii="Times New Roman" w:hAnsi="Times New Roman"/>
          <w:b/>
          <w:sz w:val="24"/>
          <w:szCs w:val="24"/>
          <w:lang w:val="en-GB"/>
        </w:rPr>
        <w:t xml:space="preserve">national intangible heritage to raise awareness of European common values – EU context, perspectives and active citizenship" </w:t>
      </w:r>
    </w:p>
    <w:p w14:paraId="4DECE1E2" w14:textId="059D03DE" w:rsidR="007079B7" w:rsidRPr="007079B7" w:rsidRDefault="007079B7" w:rsidP="00B52F8F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</w:rPr>
      </w:pPr>
      <w:r w:rsidRPr="007079B7">
        <w:rPr>
          <w:rFonts w:ascii="Times New Roman" w:eastAsia="Calibri" w:hAnsi="Times New Roman"/>
          <w:bCs/>
          <w:sz w:val="24"/>
          <w:szCs w:val="24"/>
        </w:rPr>
        <w:t xml:space="preserve">InThrace je </w:t>
      </w:r>
      <w:r w:rsidR="00A905AD" w:rsidRPr="000E3B1E">
        <w:rPr>
          <w:rFonts w:ascii="Times New Roman" w:hAnsi="Times New Roman"/>
          <w:sz w:val="24"/>
          <w:szCs w:val="24"/>
        </w:rPr>
        <w:t>projekt</w:t>
      </w:r>
      <w:r w:rsidR="00A905AD" w:rsidRPr="000E3B1E">
        <w:rPr>
          <w:rFonts w:ascii="Times New Roman" w:hAnsi="Times New Roman"/>
          <w:i/>
          <w:sz w:val="24"/>
          <w:szCs w:val="24"/>
        </w:rPr>
        <w:t xml:space="preserve"> </w:t>
      </w:r>
      <w:r w:rsidR="00A905AD" w:rsidRPr="000E3B1E">
        <w:rPr>
          <w:rFonts w:ascii="Times New Roman" w:hAnsi="Times New Roman"/>
          <w:sz w:val="24"/>
          <w:szCs w:val="24"/>
        </w:rPr>
        <w:t>prijavljen u sklopu Erasmus+ programa, Call 2023 Round 1 KA2 / Partnerships for cooperation, KA220-HED - Cooperation partnerships in higher education.</w:t>
      </w:r>
      <w:r w:rsidR="000E3B1E" w:rsidRPr="000E3B1E">
        <w:rPr>
          <w:rFonts w:ascii="Times New Roman" w:hAnsi="Times New Roman"/>
          <w:sz w:val="24"/>
          <w:szCs w:val="24"/>
        </w:rPr>
        <w:t xml:space="preserve"> Njegov cilj je </w:t>
      </w:r>
      <w:r w:rsidR="000E3B1E" w:rsidRPr="000E3B1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7079B7">
        <w:rPr>
          <w:rFonts w:ascii="Times New Roman" w:eastAsia="Calibri" w:hAnsi="Times New Roman"/>
          <w:bCs/>
          <w:sz w:val="24"/>
          <w:szCs w:val="24"/>
        </w:rPr>
        <w:t>unaprijediti i obogatiti kompetencije sveučilišne akademske zajednice</w:t>
      </w:r>
      <w:r w:rsidR="000E3B1E">
        <w:rPr>
          <w:rFonts w:ascii="Times New Roman" w:eastAsia="Calibri" w:hAnsi="Times New Roman"/>
          <w:bCs/>
          <w:sz w:val="24"/>
          <w:szCs w:val="24"/>
        </w:rPr>
        <w:t>. O</w:t>
      </w:r>
      <w:r w:rsidRPr="007079B7">
        <w:rPr>
          <w:rFonts w:ascii="Times New Roman" w:eastAsia="Calibri" w:hAnsi="Times New Roman"/>
          <w:bCs/>
          <w:sz w:val="24"/>
          <w:szCs w:val="24"/>
        </w:rPr>
        <w:t>lakšati tumačenje, očuvanje, integraciju i održivo upravljanje nacionalnom i zajedničkom nematerijalnom baštinom EU-a u urbanom i prigradskom okruženju te u društvenom životu lokalne zajednice</w:t>
      </w:r>
      <w:r w:rsidR="000E3B1E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5B6220">
        <w:rPr>
          <w:rFonts w:ascii="Times New Roman" w:eastAsia="Calibri" w:hAnsi="Times New Roman"/>
          <w:bCs/>
          <w:sz w:val="24"/>
          <w:szCs w:val="24"/>
        </w:rPr>
        <w:t xml:space="preserve">Ujedno i </w:t>
      </w:r>
      <w:r w:rsidRPr="007079B7">
        <w:rPr>
          <w:rFonts w:ascii="Times New Roman" w:eastAsia="Calibri" w:hAnsi="Times New Roman"/>
          <w:bCs/>
          <w:sz w:val="24"/>
          <w:szCs w:val="24"/>
        </w:rPr>
        <w:t>oticanje građanskog angažmana, podizanje svijesti o nacionalnom i EU identitetu i omogućavanje boljeg razumijevanja zajedničkih EU vrijednosti, načela i koncepta zajedničke budućnosti.</w:t>
      </w:r>
    </w:p>
    <w:p w14:paraId="3EEB8A66" w14:textId="77777777" w:rsidR="004320F0" w:rsidRDefault="004320F0" w:rsidP="007B5742">
      <w:pPr>
        <w:spacing w:after="160" w:line="256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613F2375" w14:textId="1E7D6708" w:rsidR="00A371B4" w:rsidRDefault="00C7402F" w:rsidP="007B5742">
      <w:pPr>
        <w:spacing w:after="160" w:line="256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Naziv projekta:</w:t>
      </w:r>
      <w:r w:rsidRPr="00C7402F">
        <w:t xml:space="preserve"> </w:t>
      </w:r>
      <w:r>
        <w:t xml:space="preserve"> </w:t>
      </w:r>
      <w:r w:rsidRPr="00C7402F">
        <w:rPr>
          <w:rFonts w:ascii="Times New Roman" w:eastAsia="Calibri" w:hAnsi="Times New Roman"/>
          <w:b/>
          <w:bCs/>
          <w:sz w:val="24"/>
          <w:szCs w:val="24"/>
        </w:rPr>
        <w:t xml:space="preserve">SONAR-Cities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- </w:t>
      </w:r>
      <w:r w:rsidRPr="00C7402F">
        <w:rPr>
          <w:rFonts w:ascii="Times New Roman" w:eastAsia="Calibri" w:hAnsi="Times New Roman"/>
          <w:b/>
          <w:bCs/>
          <w:sz w:val="24"/>
          <w:szCs w:val="24"/>
        </w:rPr>
        <w:t xml:space="preserve">Social Sciences Participatory Research-Action for Preparedness in Risk Management for Disasters and Health Emergencies in Europe’s Cities </w:t>
      </w:r>
    </w:p>
    <w:p w14:paraId="31981757" w14:textId="77777777" w:rsidR="00B135FC" w:rsidRDefault="00156C50" w:rsidP="00B135F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SONAR- Cities je</w:t>
      </w:r>
      <w:r w:rsidR="00FF7E2D" w:rsidRPr="00FF7E2D">
        <w:t xml:space="preserve"> </w:t>
      </w:r>
      <w:r w:rsidR="00FF7E2D">
        <w:rPr>
          <w:rFonts w:ascii="Times New Roman" w:eastAsia="Calibri" w:hAnsi="Times New Roman"/>
          <w:sz w:val="24"/>
          <w:szCs w:val="24"/>
        </w:rPr>
        <w:t>p</w:t>
      </w:r>
      <w:r w:rsidR="00FF7E2D" w:rsidRPr="00FF7E2D">
        <w:rPr>
          <w:rFonts w:ascii="Times New Roman" w:eastAsia="Calibri" w:hAnsi="Times New Roman"/>
          <w:sz w:val="24"/>
          <w:szCs w:val="24"/>
        </w:rPr>
        <w:t>rojekt je prijavljen u sklopu programa Horizon, poziv: Disaster-Resilient Society 2023 HORIZONCL3-2023-DRS-01, Vrsta djelovanja: HORIZON-RIA</w:t>
      </w:r>
      <w:r w:rsidR="00FF7E2D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FF7E2D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rojekt</w:t>
      </w:r>
      <w:r w:rsidR="00FF7E2D">
        <w:rPr>
          <w:rFonts w:ascii="Times New Roman" w:eastAsia="Calibri" w:hAnsi="Times New Roman"/>
          <w:sz w:val="24"/>
          <w:szCs w:val="24"/>
        </w:rPr>
        <w:t xml:space="preserve"> se bavi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D772F">
        <w:rPr>
          <w:rFonts w:ascii="Times New Roman" w:eastAsia="Calibri" w:hAnsi="Times New Roman"/>
          <w:sz w:val="24"/>
          <w:szCs w:val="24"/>
        </w:rPr>
        <w:t xml:space="preserve">pripremom </w:t>
      </w:r>
      <w:r w:rsidR="001B535C" w:rsidRPr="001B535C">
        <w:rPr>
          <w:rFonts w:ascii="Times New Roman" w:eastAsia="Calibri" w:hAnsi="Times New Roman"/>
          <w:sz w:val="24"/>
          <w:szCs w:val="24"/>
        </w:rPr>
        <w:t>smjernic</w:t>
      </w:r>
      <w:r w:rsidR="001D772F">
        <w:rPr>
          <w:rFonts w:ascii="Times New Roman" w:eastAsia="Calibri" w:hAnsi="Times New Roman"/>
          <w:sz w:val="24"/>
          <w:szCs w:val="24"/>
        </w:rPr>
        <w:t>a</w:t>
      </w:r>
      <w:r w:rsidR="001B535C" w:rsidRPr="001B535C">
        <w:rPr>
          <w:rFonts w:ascii="Times New Roman" w:eastAsia="Calibri" w:hAnsi="Times New Roman"/>
          <w:sz w:val="24"/>
          <w:szCs w:val="24"/>
        </w:rPr>
        <w:t>, materijal</w:t>
      </w:r>
      <w:r w:rsidR="001D772F">
        <w:rPr>
          <w:rFonts w:ascii="Times New Roman" w:eastAsia="Calibri" w:hAnsi="Times New Roman"/>
          <w:sz w:val="24"/>
          <w:szCs w:val="24"/>
        </w:rPr>
        <w:t>a</w:t>
      </w:r>
      <w:r w:rsidR="001B535C" w:rsidRPr="001B535C">
        <w:rPr>
          <w:rFonts w:ascii="Times New Roman" w:eastAsia="Calibri" w:hAnsi="Times New Roman"/>
          <w:sz w:val="24"/>
          <w:szCs w:val="24"/>
        </w:rPr>
        <w:t xml:space="preserve"> i povećanje kapaciteta za pripremu, reagiranje i ublažavanje posljedica velikih nesreća i katastrofa s fokusom na vulnerabline skupine pogođenih čije potrebe redovito ostaju zanemarene u takvim okolnostima.</w:t>
      </w:r>
    </w:p>
    <w:p w14:paraId="09589318" w14:textId="2C14B608" w:rsidR="001B535C" w:rsidRPr="001B535C" w:rsidRDefault="001B535C" w:rsidP="00B135F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1B535C">
        <w:rPr>
          <w:rFonts w:ascii="Times New Roman" w:eastAsia="Calibri" w:hAnsi="Times New Roman"/>
          <w:sz w:val="24"/>
          <w:szCs w:val="24"/>
        </w:rPr>
        <w:t>Svrha i cilj projekta</w:t>
      </w:r>
      <w:r w:rsidR="001D772F">
        <w:rPr>
          <w:rFonts w:ascii="Times New Roman" w:eastAsia="Calibri" w:hAnsi="Times New Roman"/>
          <w:sz w:val="24"/>
          <w:szCs w:val="24"/>
        </w:rPr>
        <w:t xml:space="preserve"> su</w:t>
      </w:r>
      <w:r w:rsidRPr="001B535C">
        <w:rPr>
          <w:rFonts w:ascii="Times New Roman" w:eastAsia="Calibri" w:hAnsi="Times New Roman"/>
          <w:sz w:val="24"/>
          <w:szCs w:val="24"/>
        </w:rPr>
        <w:t xml:space="preserve"> </w:t>
      </w:r>
      <w:r w:rsidR="001D772F">
        <w:rPr>
          <w:rFonts w:ascii="Times New Roman" w:eastAsia="Calibri" w:hAnsi="Times New Roman"/>
          <w:sz w:val="24"/>
          <w:szCs w:val="24"/>
        </w:rPr>
        <w:t>u</w:t>
      </w:r>
      <w:r w:rsidRPr="001B535C">
        <w:rPr>
          <w:rFonts w:ascii="Times New Roman" w:eastAsia="Calibri" w:hAnsi="Times New Roman"/>
          <w:sz w:val="24"/>
          <w:szCs w:val="24"/>
        </w:rPr>
        <w:t>naprijediti psihosocijalno zbrinjavanje vulnerabilnih skupina građana u okolnostima velikih nesreća i katastrofa.</w:t>
      </w:r>
    </w:p>
    <w:p w14:paraId="612F6A40" w14:textId="77777777" w:rsidR="004320F0" w:rsidRDefault="004320F0" w:rsidP="007B5742">
      <w:pPr>
        <w:spacing w:after="160" w:line="256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5D8DF05A" w14:textId="2F8ECAF5" w:rsidR="001D34F9" w:rsidRDefault="001D34F9" w:rsidP="001D34F9">
      <w:pPr>
        <w:pStyle w:val="NoSpacing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1D34F9">
        <w:rPr>
          <w:rFonts w:ascii="Times New Roman" w:hAnsi="Times New Roman"/>
          <w:b/>
          <w:bCs/>
          <w:sz w:val="24"/>
          <w:szCs w:val="24"/>
          <w:lang w:eastAsia="hr-HR"/>
        </w:rPr>
        <w:t xml:space="preserve">Naziv projekta: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SOCGLOBE - </w:t>
      </w:r>
      <w:r w:rsidRPr="001D34F9">
        <w:rPr>
          <w:rFonts w:ascii="Times New Roman" w:hAnsi="Times New Roman"/>
          <w:b/>
          <w:bCs/>
          <w:sz w:val="24"/>
          <w:szCs w:val="24"/>
          <w:lang w:eastAsia="hr-HR"/>
        </w:rPr>
        <w:t>Socialist symbolic geography and global belonging: Yugoslav travel writings in the Third World (Socijalistička simbolička geografija i globalna pripadnost: jugoslavenski putopisi u zemljama Trećeg svijeta)</w:t>
      </w:r>
    </w:p>
    <w:p w14:paraId="140CE848" w14:textId="77777777" w:rsidR="00CD313D" w:rsidRDefault="00CD313D" w:rsidP="001D34F9">
      <w:pPr>
        <w:pStyle w:val="NoSpacing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2EEF1B37" w14:textId="77777777" w:rsidR="001D34F9" w:rsidRPr="001D34F9" w:rsidRDefault="001D34F9" w:rsidP="00E06614">
      <w:pPr>
        <w:pStyle w:val="NoSpacing"/>
        <w:jc w:val="both"/>
        <w:rPr>
          <w:rFonts w:ascii="Times New Roman" w:hAnsi="Times New Roman"/>
          <w:sz w:val="24"/>
          <w:szCs w:val="24"/>
          <w:lang w:eastAsia="hr-HR"/>
        </w:rPr>
      </w:pPr>
      <w:r w:rsidRPr="001D34F9">
        <w:rPr>
          <w:rFonts w:ascii="Times New Roman" w:hAnsi="Times New Roman"/>
          <w:sz w:val="24"/>
          <w:szCs w:val="24"/>
          <w:lang w:eastAsia="hr-HR"/>
        </w:rPr>
        <w:t>Projekt SOCGLOBE bavi se analizom jugoslavenskih socijalističkih putopisa iz razdoblja od 1945. do 1990. godine. Ovi putopisi pružaju jedinstveni uvid u socijalističku simboličku geografiju, koja je promicala ideju globalne solidarnosti i pripadnosti između zemalja Drugog i Trećeg svijeta, posebno u kontekstu političkih, ekonomskih i kulturnih saveza. S obzirom na to da su danas ovi tekstovi i s njima povezane povijesne veze zaboravljeni, projekt teži revitalizaciji vrijednosti solidarnosti i globalne pripadnosti kroz istraživanje ovih izvora, čime se doprinosi novim perspektivama na europsku i globalnu prošlost i budućnost.</w:t>
      </w:r>
    </w:p>
    <w:p w14:paraId="4B09E139" w14:textId="2732E550" w:rsidR="001D34F9" w:rsidRDefault="001D34F9" w:rsidP="001D34F9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 w:rsidRPr="001D34F9">
        <w:rPr>
          <w:rFonts w:ascii="Times New Roman" w:hAnsi="Times New Roman"/>
          <w:sz w:val="24"/>
          <w:szCs w:val="24"/>
          <w:lang w:eastAsia="hr-HR"/>
        </w:rPr>
        <w:t>SOCGLOBE ima dva strateška cilja:</w:t>
      </w:r>
    </w:p>
    <w:p w14:paraId="149B09A0" w14:textId="0C2A2FE0" w:rsidR="001D34F9" w:rsidRPr="00263785" w:rsidRDefault="00263785" w:rsidP="00263785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 w:rsidRPr="00263785">
        <w:rPr>
          <w:rFonts w:ascii="Times New Roman" w:hAnsi="Times New Roman"/>
          <w:sz w:val="24"/>
          <w:szCs w:val="24"/>
          <w:lang w:eastAsia="hr-HR"/>
        </w:rPr>
        <w:t xml:space="preserve">1. </w:t>
      </w:r>
      <w:r w:rsidR="001D34F9" w:rsidRPr="00263785">
        <w:rPr>
          <w:rFonts w:ascii="Times New Roman" w:hAnsi="Times New Roman"/>
          <w:sz w:val="24"/>
          <w:szCs w:val="24"/>
          <w:lang w:eastAsia="hr-HR"/>
        </w:rPr>
        <w:t>Stvaranje korpusa jugoslavenskih putopisa – sastavljanje sveobuhvatne zbirke jugoslavenskih putopisa kako bi se sačuvali i organizirali materijali koji su u opasnosti od povijesnog nestanka.</w:t>
      </w:r>
    </w:p>
    <w:p w14:paraId="1ACCFBBF" w14:textId="2A189573" w:rsidR="001D34F9" w:rsidRPr="00263785" w:rsidRDefault="00263785" w:rsidP="00263785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 w:rsidRPr="00263785">
        <w:rPr>
          <w:rFonts w:ascii="Times New Roman" w:hAnsi="Times New Roman"/>
          <w:sz w:val="24"/>
          <w:szCs w:val="24"/>
          <w:lang w:eastAsia="hr-HR"/>
        </w:rPr>
        <w:t xml:space="preserve">2. </w:t>
      </w:r>
      <w:r w:rsidR="001D34F9" w:rsidRPr="00263785">
        <w:rPr>
          <w:rFonts w:ascii="Times New Roman" w:hAnsi="Times New Roman"/>
          <w:sz w:val="24"/>
          <w:szCs w:val="24"/>
          <w:lang w:eastAsia="hr-HR"/>
        </w:rPr>
        <w:t>Razvoj konceptualnog okvira za proučavanje socijalističke simboličke geografije – istraživanje odnosa između Drugog i Trećeg svijeta izvan dominantnog postkolonijalnog modela te uvođenje pojma socijalističke simboličke geografije kao mjesta višedimenzionalne razmjene i pregovaranja.</w:t>
      </w:r>
    </w:p>
    <w:p w14:paraId="314ACBE7" w14:textId="77777777" w:rsidR="001E3F69" w:rsidRPr="00263785" w:rsidRDefault="001E3F69" w:rsidP="007B5742">
      <w:pPr>
        <w:spacing w:after="160" w:line="256" w:lineRule="auto"/>
        <w:rPr>
          <w:rFonts w:ascii="Times New Roman" w:eastAsia="Calibri" w:hAnsi="Times New Roman"/>
          <w:sz w:val="24"/>
          <w:szCs w:val="24"/>
        </w:rPr>
      </w:pPr>
    </w:p>
    <w:p w14:paraId="30C9595E" w14:textId="4E37CC60" w:rsidR="004320F0" w:rsidRDefault="005F63B1" w:rsidP="00FC2B1C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5F63B1">
        <w:rPr>
          <w:rFonts w:ascii="Times New Roman" w:eastAsia="Calibri" w:hAnsi="Times New Roman"/>
          <w:b/>
          <w:bCs/>
          <w:sz w:val="24"/>
          <w:szCs w:val="24"/>
        </w:rPr>
        <w:lastRenderedPageBreak/>
        <w:t>Naziv projekta CIVENHANCE: E-Service Learning for Boosting Academic Civic Engagement in Rural Areas</w:t>
      </w:r>
    </w:p>
    <w:p w14:paraId="447DEECD" w14:textId="77777777" w:rsidR="004928F7" w:rsidRDefault="004928F7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4928F7">
        <w:rPr>
          <w:rFonts w:ascii="Times New Roman" w:eastAsia="Calibri" w:hAnsi="Times New Roman"/>
          <w:sz w:val="24"/>
          <w:szCs w:val="24"/>
        </w:rPr>
        <w:t xml:space="preserve">Projekt CIVENHANCE (2024-2027) ima za cilj poticanje studentskog angažmana u zajednici kroz e-društveno korisno učenje (e-DKU-a) u ruralnim zajednicama te priznavanje rada u zajednici u akademskim rezultatima studenata. </w:t>
      </w:r>
    </w:p>
    <w:p w14:paraId="47BF4ED4" w14:textId="77777777" w:rsidR="004928F7" w:rsidRDefault="004928F7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4928F7">
        <w:rPr>
          <w:rFonts w:ascii="Times New Roman" w:eastAsia="Calibri" w:hAnsi="Times New Roman"/>
          <w:sz w:val="24"/>
          <w:szCs w:val="24"/>
        </w:rPr>
        <w:t>Na projektu će se razviti</w:t>
      </w:r>
      <w:r>
        <w:rPr>
          <w:rFonts w:ascii="Times New Roman" w:eastAsia="Calibri" w:hAnsi="Times New Roman"/>
          <w:sz w:val="24"/>
          <w:szCs w:val="24"/>
        </w:rPr>
        <w:t>:</w:t>
      </w:r>
    </w:p>
    <w:p w14:paraId="5DB48AF1" w14:textId="1F668531" w:rsidR="004928F7" w:rsidRPr="004928F7" w:rsidRDefault="004928F7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a) </w:t>
      </w:r>
      <w:r w:rsidRPr="004928F7">
        <w:rPr>
          <w:rFonts w:ascii="Times New Roman" w:eastAsia="Calibri" w:hAnsi="Times New Roman"/>
          <w:sz w:val="24"/>
          <w:szCs w:val="24"/>
        </w:rPr>
        <w:t xml:space="preserve">modularni mješoviti tečajevi za akademske nastavnike i studente korištenjem transdisciplinarnog pristupa, e-DKU-a i suradničkog online međunarodnog okruženja za zadovoljavanje zajedničkih društvenih izazova, </w:t>
      </w:r>
    </w:p>
    <w:p w14:paraId="724323F4" w14:textId="77777777" w:rsidR="004928F7" w:rsidRPr="004928F7" w:rsidRDefault="004928F7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4928F7">
        <w:rPr>
          <w:rFonts w:ascii="Times New Roman" w:eastAsia="Calibri" w:hAnsi="Times New Roman"/>
          <w:sz w:val="24"/>
          <w:szCs w:val="24"/>
        </w:rPr>
        <w:t xml:space="preserve">b) tečaj za potporu angažmanu nastavnika u zajednici, </w:t>
      </w:r>
    </w:p>
    <w:p w14:paraId="14C730C5" w14:textId="77777777" w:rsidR="004928F7" w:rsidRDefault="004928F7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4928F7">
        <w:rPr>
          <w:rFonts w:ascii="Times New Roman" w:eastAsia="Calibri" w:hAnsi="Times New Roman"/>
          <w:sz w:val="24"/>
          <w:szCs w:val="24"/>
        </w:rPr>
        <w:t>(c) virtualna platforma za pronalaženje partnera koja će ojačati veze između ruralnih zajednica i sveučilišta.</w:t>
      </w:r>
    </w:p>
    <w:p w14:paraId="26A8F55D" w14:textId="77777777" w:rsidR="00D77381" w:rsidRDefault="00D77381" w:rsidP="00FC2B1C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B44A362" w14:textId="19BE9F4A" w:rsidR="00D77381" w:rsidRPr="00FC2B1C" w:rsidRDefault="00D77381" w:rsidP="00D77381">
      <w:pPr>
        <w:spacing w:after="160" w:line="256" w:lineRule="auto"/>
        <w:rPr>
          <w:rFonts w:ascii="Times New Roman" w:eastAsia="Calibri" w:hAnsi="Times New Roman"/>
          <w:b/>
          <w:bCs/>
          <w:sz w:val="24"/>
          <w:szCs w:val="24"/>
          <w:lang w:val="en-GB"/>
        </w:rPr>
      </w:pPr>
      <w:r w:rsidRPr="007B5742">
        <w:rPr>
          <w:rFonts w:ascii="Times New Roman" w:eastAsia="Calibri" w:hAnsi="Times New Roman"/>
          <w:b/>
          <w:bCs/>
          <w:sz w:val="24"/>
          <w:szCs w:val="24"/>
        </w:rPr>
        <w:t>Naziv projekta</w:t>
      </w:r>
      <w:r w:rsidRPr="007B5742">
        <w:rPr>
          <w:rFonts w:ascii="Times New Roman" w:eastAsia="Calibri" w:hAnsi="Times New Roman"/>
          <w:sz w:val="24"/>
          <w:szCs w:val="24"/>
        </w:rPr>
        <w:t xml:space="preserve">: </w:t>
      </w:r>
      <w:r w:rsidRPr="007B5742">
        <w:rPr>
          <w:rFonts w:ascii="Times New Roman" w:eastAsia="Calibri" w:hAnsi="Times New Roman"/>
          <w:b/>
          <w:bCs/>
          <w:sz w:val="24"/>
          <w:szCs w:val="24"/>
          <w:lang w:val="en-GB"/>
        </w:rPr>
        <w:t>CAPONEU - The Cartography of Political Novel in Europe</w:t>
      </w:r>
    </w:p>
    <w:p w14:paraId="633CAE9B" w14:textId="77777777" w:rsidR="00D77381" w:rsidRPr="007B5742" w:rsidRDefault="00D77381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 xml:space="preserve">Projekt istražuje kako se politički roman, kao specifičan književni žanr, u različitim nacionalnim i kulturnim kontekstima nosi s političkim pitanjima te tako oblikuje percepciju lokalne i globalne politike. Na tragu povećanog interesa humanističke struke za političke učinke književnosti, politički će se roman motriti kao važan dio europskog kulturnog naslijeđa, ali i kao moćan alat za građanski odgoj i obrazovanje mladih, rad u lokalnoj zajednici te zagovaranje europskih vrijednosti. </w:t>
      </w:r>
    </w:p>
    <w:p w14:paraId="2A035F81" w14:textId="77777777" w:rsidR="00D77381" w:rsidRPr="007B5742" w:rsidRDefault="00D77381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 xml:space="preserve">Koordinator je projekta istraživački tim s Filozofskog fakulteta u Zagrebu. Uz zagrebačkog koordinatora u provedbi 10 radnih paketa sudjeluju istraživači sa sveučilišta u Cambridgeu, Brightonu, Poznanju, Nikoziji i Zadru, kolege iz istraživačkog centra Geisteswissenschafliche Zentren u Berlinu, think tanka Autonomy iz Londona te dvije nevladine organizacije iz Zagreba (Institut za političku ekologiju i Booksa/Kulturtreger). </w:t>
      </w:r>
    </w:p>
    <w:p w14:paraId="5E73A09E" w14:textId="77777777" w:rsidR="00D77381" w:rsidRPr="007B5742" w:rsidRDefault="00D77381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Svrha i cilj projekta:</w:t>
      </w:r>
    </w:p>
    <w:p w14:paraId="14E5B58D" w14:textId="427BA690" w:rsidR="00D77381" w:rsidRPr="007B5742" w:rsidRDefault="00D77381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>1. Kako politički roman, kao spec</w:t>
      </w:r>
      <w:r w:rsidR="00A61E52">
        <w:rPr>
          <w:rFonts w:ascii="Times New Roman" w:eastAsia="Calibri" w:hAnsi="Times New Roman"/>
          <w:sz w:val="24"/>
          <w:szCs w:val="24"/>
        </w:rPr>
        <w:t>if</w:t>
      </w:r>
      <w:r w:rsidRPr="007B5742">
        <w:rPr>
          <w:rFonts w:ascii="Times New Roman" w:eastAsia="Calibri" w:hAnsi="Times New Roman"/>
          <w:sz w:val="24"/>
          <w:szCs w:val="24"/>
        </w:rPr>
        <w:t>ična književna vrsta, u različitim nacionalnim i kulturnim kontekstima utječe na percepciju i razumijevanje lokalne i globalne politike, ljudskih vrijednosti, normi, tradicija, uvjerenja i mentaliteta</w:t>
      </w:r>
    </w:p>
    <w:p w14:paraId="4B72A821" w14:textId="77777777" w:rsidR="00D77381" w:rsidRPr="007B5742" w:rsidRDefault="00D77381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 xml:space="preserve">2. Kako se politički roman može koristiti kao sredstvo doživljavanja, propitivanja, ali i promicanja i zagovaranja europske lokalne, ali i globalne politike </w:t>
      </w:r>
    </w:p>
    <w:p w14:paraId="08A8E5E4" w14:textId="77777777" w:rsidR="00D77381" w:rsidRPr="007B5742" w:rsidRDefault="00D77381" w:rsidP="00FC2B1C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5742">
        <w:rPr>
          <w:rFonts w:ascii="Times New Roman" w:eastAsia="Calibri" w:hAnsi="Times New Roman"/>
          <w:sz w:val="24"/>
          <w:szCs w:val="24"/>
        </w:rPr>
        <w:t xml:space="preserve"> </w:t>
      </w:r>
    </w:p>
    <w:p w14:paraId="71E408C8" w14:textId="59B37646" w:rsidR="00C35455" w:rsidRPr="00C805A2" w:rsidRDefault="00C35455" w:rsidP="00C3545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805A2">
        <w:rPr>
          <w:rFonts w:ascii="Times New Roman" w:hAnsi="Times New Roman"/>
          <w:b/>
          <w:bCs/>
          <w:sz w:val="24"/>
          <w:szCs w:val="24"/>
        </w:rPr>
        <w:t>Naziv projekta: I</w:t>
      </w:r>
      <w:r w:rsidR="00C805A2" w:rsidRPr="00C805A2">
        <w:rPr>
          <w:rFonts w:ascii="Times New Roman" w:hAnsi="Times New Roman"/>
          <w:b/>
          <w:bCs/>
          <w:sz w:val="24"/>
          <w:szCs w:val="24"/>
        </w:rPr>
        <w:t xml:space="preserve">ntegratEU </w:t>
      </w:r>
      <w:r w:rsidRPr="00C805A2">
        <w:rPr>
          <w:rFonts w:ascii="Times New Roman" w:hAnsi="Times New Roman"/>
          <w:b/>
          <w:bCs/>
          <w:sz w:val="24"/>
          <w:szCs w:val="24"/>
          <w:lang w:val="en-GB"/>
        </w:rPr>
        <w:t>Summer schools on environmental protection, sustainability</w:t>
      </w:r>
      <w:r w:rsidRPr="00C805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05A2">
        <w:rPr>
          <w:rFonts w:ascii="Times New Roman" w:hAnsi="Times New Roman"/>
          <w:b/>
          <w:bCs/>
          <w:sz w:val="24"/>
          <w:szCs w:val="24"/>
          <w:lang w:val="en-GB"/>
        </w:rPr>
        <w:t xml:space="preserve">&amp; ecological </w:t>
      </w:r>
      <w:proofErr w:type="spellStart"/>
      <w:r w:rsidRPr="00C805A2">
        <w:rPr>
          <w:rFonts w:ascii="Times New Roman" w:hAnsi="Times New Roman"/>
          <w:b/>
          <w:bCs/>
          <w:sz w:val="24"/>
          <w:szCs w:val="24"/>
          <w:lang w:val="en-GB"/>
        </w:rPr>
        <w:t>behavior</w:t>
      </w:r>
      <w:proofErr w:type="spellEnd"/>
      <w:r w:rsidRPr="00C805A2">
        <w:rPr>
          <w:rFonts w:ascii="Times New Roman" w:hAnsi="Times New Roman"/>
          <w:b/>
          <w:bCs/>
          <w:sz w:val="24"/>
          <w:szCs w:val="24"/>
          <w:lang w:val="en-GB"/>
        </w:rPr>
        <w:t xml:space="preserve"> to support the integration and</w:t>
      </w:r>
      <w:r w:rsidRPr="00C805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05A2">
        <w:rPr>
          <w:rFonts w:ascii="Times New Roman" w:hAnsi="Times New Roman"/>
          <w:b/>
          <w:bCs/>
          <w:sz w:val="24"/>
          <w:szCs w:val="24"/>
          <w:lang w:val="en-GB"/>
        </w:rPr>
        <w:t>inclusion of migrants &amp; refugees in the higher education –</w:t>
      </w:r>
      <w:r w:rsidRPr="00C805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05A2">
        <w:rPr>
          <w:rFonts w:ascii="Times New Roman" w:hAnsi="Times New Roman"/>
          <w:b/>
          <w:bCs/>
          <w:sz w:val="24"/>
          <w:szCs w:val="24"/>
          <w:lang w:val="en-GB"/>
        </w:rPr>
        <w:t>enhance the university professors competences</w:t>
      </w:r>
    </w:p>
    <w:p w14:paraId="7908700A" w14:textId="77777777" w:rsidR="00CD313D" w:rsidRPr="005D76CF" w:rsidRDefault="00CD313D" w:rsidP="00CD313D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EA7FF4">
        <w:rPr>
          <w:rFonts w:ascii="Times New Roman" w:hAnsi="Times New Roman"/>
          <w:sz w:val="24"/>
          <w:szCs w:val="24"/>
        </w:rPr>
        <w:t xml:space="preserve">Sveučilišni </w:t>
      </w:r>
      <w:r>
        <w:rPr>
          <w:rFonts w:ascii="Times New Roman" w:hAnsi="Times New Roman"/>
          <w:sz w:val="24"/>
          <w:szCs w:val="24"/>
        </w:rPr>
        <w:t>djelatnici</w:t>
      </w:r>
      <w:r w:rsidRPr="00EA7FF4">
        <w:rPr>
          <w:rFonts w:ascii="Times New Roman" w:hAnsi="Times New Roman"/>
          <w:sz w:val="24"/>
          <w:szCs w:val="24"/>
        </w:rPr>
        <w:t xml:space="preserve"> svjesni su važnosti pune i uspješne sveučilišne integracije studenata iz ranjivih skupina, uključujući migrante, izbjeglice ili pripadnike različitih manjina. U teoriji, akademsko okruženje treba biti osjetljivije na one koji se smatraju „drugima” i „drugačijima”. Potreba za radom na boljem uključivanju ranjivih studenata nije samo kritična. U središtu je europskih vrijednosti isticanje jednakosti i humanizma kao glavnih stupova vizije EU-a. Međutim, na sveučilišnoj razini gotovo da nema posebnih alata i resursa koji bi znanstvenicima pomogli u postizanju bolje integracije i uključivanja tih skupina u obrazovni proces i društveni život društva općenito. Zbog nedostatka fokusiranog stručnog usavršavanja, sveučilišna akademija nema praktična znanja, vještine i kompetencije za bolji rad s takvim mladim ljudima i njihovo uključivanje u akademski svijet</w:t>
      </w:r>
      <w:r>
        <w:rPr>
          <w:rFonts w:ascii="Times New Roman" w:hAnsi="Times New Roman"/>
          <w:sz w:val="24"/>
          <w:szCs w:val="24"/>
        </w:rPr>
        <w:t>.</w:t>
      </w:r>
    </w:p>
    <w:p w14:paraId="1504DA04" w14:textId="77777777" w:rsidR="00CD313D" w:rsidRDefault="00CD313D" w:rsidP="00727052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E45F506" w14:textId="77777777" w:rsidR="00DB2B6F" w:rsidRDefault="00DB2B6F" w:rsidP="00D70330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46AAE2BC" w14:textId="77233F72" w:rsidR="00D70330" w:rsidRDefault="00D70330" w:rsidP="00D70330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D70330">
        <w:rPr>
          <w:rFonts w:ascii="Times New Roman" w:eastAsia="Calibri" w:hAnsi="Times New Roman"/>
          <w:b/>
          <w:bCs/>
          <w:sz w:val="24"/>
          <w:szCs w:val="24"/>
        </w:rPr>
        <w:lastRenderedPageBreak/>
        <w:t>Naziv projekta: Responsible Indicator Framework for Humanities and Social Sciences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D70330">
        <w:rPr>
          <w:rFonts w:ascii="Times New Roman" w:eastAsia="Calibri" w:hAnsi="Times New Roman"/>
          <w:b/>
          <w:bCs/>
          <w:sz w:val="24"/>
          <w:szCs w:val="24"/>
        </w:rPr>
        <w:t>(RIF4HSS)</w:t>
      </w:r>
    </w:p>
    <w:p w14:paraId="496A8674" w14:textId="64C45CCF" w:rsidR="00207346" w:rsidRPr="00207346" w:rsidRDefault="00207346" w:rsidP="00D70330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07346">
        <w:rPr>
          <w:rFonts w:ascii="Times New Roman" w:eastAsia="Calibri" w:hAnsi="Times New Roman"/>
          <w:sz w:val="24"/>
          <w:szCs w:val="24"/>
        </w:rPr>
        <w:t>Ovaj projekt predstavlja participativni, svrhovito oblikovan katalog pokazatelja namjenjen podržavanju transparentne i odgovorne procijene istraživanja u području humanističkih i društvenih znanosti (HSS). Razvijen kroz proces zajedničkog stvaranja koji uključuje različite dionike, katalog nudi strukturirani, kontekstualno osjetljiv okvir za korištenje pokazatelja usklađenih s načelima otvorene znanosti.</w:t>
      </w:r>
    </w:p>
    <w:p w14:paraId="5C2966E9" w14:textId="28B48625" w:rsidR="00207346" w:rsidRPr="00207346" w:rsidRDefault="00207346" w:rsidP="00D70330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07346">
        <w:rPr>
          <w:rFonts w:ascii="Times New Roman" w:eastAsia="Calibri" w:hAnsi="Times New Roman"/>
          <w:sz w:val="24"/>
          <w:szCs w:val="24"/>
        </w:rPr>
        <w:t xml:space="preserve">Svrha i cilj projekta: Katalog će se testirati na Filozofskom fakultetu Sveučilišta u Zagrebu, pružajući realne uvijete za ispitivanje i poboljšavanje njegova dizajna, </w:t>
      </w:r>
      <w:r>
        <w:rPr>
          <w:rFonts w:ascii="Times New Roman" w:eastAsia="Calibri" w:hAnsi="Times New Roman"/>
          <w:sz w:val="24"/>
          <w:szCs w:val="24"/>
        </w:rPr>
        <w:t>upotrebljivosti i institucionalne primjenjivosti. Uvidi proizašli iz ovog pilot-projekta poslužit će za daljnji razvoj i potencijalno širu primjenu u dugim institucijama sličnog istraživačkog konteksta.</w:t>
      </w:r>
    </w:p>
    <w:p w14:paraId="43FDA908" w14:textId="4C537CEF" w:rsidR="00207346" w:rsidRPr="00207346" w:rsidRDefault="00207346" w:rsidP="00207346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07346">
        <w:rPr>
          <w:rFonts w:ascii="Times New Roman" w:eastAsia="Calibri" w:hAnsi="Times New Roman"/>
          <w:sz w:val="24"/>
          <w:szCs w:val="24"/>
        </w:rPr>
        <w:t>Sredstva projekta namijenjena su za pokrivanje izravnih troškova provedbe projekta, putnih troškova, troškova osoblja i neizravnih troškova. Prema Pravilniku o stjecanju i korištenju vlastitih prihoda FF-a (čl.18), predviđa se pokrivanje nepokrivenih troškova projekta te financiranje stručnih i znanstvenih aktivnosti članova projektnog tima i isplata stimulacija iz sredstava namijenjenih za troškove osoblja.</w:t>
      </w:r>
    </w:p>
    <w:p w14:paraId="7883BB72" w14:textId="326BD0E5" w:rsidR="00C66E25" w:rsidRDefault="00C66E25" w:rsidP="00D5226E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D5226E" w:rsidRPr="00D5226E">
        <w:rPr>
          <w:rFonts w:ascii="Times New Roman" w:eastAsia="Calibri" w:hAnsi="Times New Roman"/>
          <w:b/>
          <w:bCs/>
          <w:sz w:val="24"/>
          <w:szCs w:val="24"/>
        </w:rPr>
        <w:t>TODOS Transformacija za održivi lokalni razvoj</w:t>
      </w:r>
    </w:p>
    <w:p w14:paraId="3AC6F914" w14:textId="3CA45C1C" w:rsidR="00D5226E" w:rsidRPr="00C66E25" w:rsidRDefault="00C66E25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C</w:t>
      </w:r>
      <w:r w:rsidR="00D5226E" w:rsidRPr="00C66E25">
        <w:rPr>
          <w:rFonts w:ascii="Times New Roman" w:eastAsia="Calibri" w:hAnsi="Times New Roman"/>
          <w:sz w:val="24"/>
          <w:szCs w:val="24"/>
        </w:rPr>
        <w:t>ilj</w:t>
      </w:r>
      <w:r w:rsidRPr="00C66E25">
        <w:rPr>
          <w:rFonts w:ascii="Times New Roman" w:eastAsia="Calibri" w:hAnsi="Times New Roman"/>
          <w:sz w:val="24"/>
          <w:szCs w:val="24"/>
        </w:rPr>
        <w:t xml:space="preserve"> projekta je</w:t>
      </w:r>
      <w:r w:rsidR="00D5226E" w:rsidRPr="00C66E25"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p</w:t>
      </w:r>
      <w:r w:rsidR="00D5226E" w:rsidRPr="00C66E25">
        <w:rPr>
          <w:rFonts w:ascii="Times New Roman" w:eastAsia="Calibri" w:hAnsi="Times New Roman"/>
          <w:sz w:val="24"/>
          <w:szCs w:val="24"/>
        </w:rPr>
        <w:t>rovedba programa osposobljavanja za razvoj/produbljivanje odnosa sveučilišta i teritorija iz perspektive relevantnosti, koristeći tri ključna kapaciteta kao pilot projekt za promicanje održivog lokalnog razvoja</w:t>
      </w:r>
      <w:r w:rsidRPr="00C66E25">
        <w:rPr>
          <w:rFonts w:ascii="Times New Roman" w:eastAsia="Calibri" w:hAnsi="Times New Roman"/>
          <w:sz w:val="24"/>
          <w:szCs w:val="24"/>
        </w:rPr>
        <w:t>.</w:t>
      </w:r>
    </w:p>
    <w:p w14:paraId="0EEB5C1A" w14:textId="58A78FB9" w:rsidR="00D5226E" w:rsidRPr="00D5226E" w:rsidRDefault="00D5226E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226E">
        <w:rPr>
          <w:rFonts w:ascii="Times New Roman" w:eastAsia="Calibri" w:hAnsi="Times New Roman"/>
          <w:sz w:val="24"/>
          <w:szCs w:val="24"/>
        </w:rPr>
        <w:t>Ovaj projekt će razviti tri strateške linije temeljene na specifičnim metodologijama:</w:t>
      </w:r>
    </w:p>
    <w:p w14:paraId="07A37F33" w14:textId="2F418A65" w:rsidR="00D5226E" w:rsidRPr="00D5226E" w:rsidRDefault="00D5226E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226E">
        <w:rPr>
          <w:rFonts w:ascii="Times New Roman" w:eastAsia="Calibri" w:hAnsi="Times New Roman"/>
          <w:sz w:val="24"/>
          <w:szCs w:val="24"/>
        </w:rPr>
        <w:t>Linija 1: Kurikularni alati za održivi lokalni razvoj (mikrokvalifikacije).</w:t>
      </w:r>
    </w:p>
    <w:p w14:paraId="6B242CB9" w14:textId="00670489" w:rsidR="00D5226E" w:rsidRPr="00D5226E" w:rsidRDefault="00D5226E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226E">
        <w:rPr>
          <w:rFonts w:ascii="Times New Roman" w:eastAsia="Calibri" w:hAnsi="Times New Roman"/>
          <w:sz w:val="24"/>
          <w:szCs w:val="24"/>
        </w:rPr>
        <w:t>Linija 2: Stručno usavršavanje sveučilišnih profesora kao agenata održive lokalne transformacije.</w:t>
      </w:r>
    </w:p>
    <w:p w14:paraId="65D4AA78" w14:textId="77777777" w:rsidR="00D5226E" w:rsidRPr="00D5226E" w:rsidRDefault="00D5226E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226E">
        <w:rPr>
          <w:rFonts w:ascii="Times New Roman" w:eastAsia="Calibri" w:hAnsi="Times New Roman"/>
          <w:sz w:val="24"/>
          <w:szCs w:val="24"/>
        </w:rPr>
        <w:t>Linija 3: Osiguranje kvalitete i certificiranje iz perspektive relevantnosti.</w:t>
      </w:r>
    </w:p>
    <w:p w14:paraId="270FB262" w14:textId="77777777" w:rsidR="00D5226E" w:rsidRPr="00D5226E" w:rsidRDefault="00D5226E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226E">
        <w:rPr>
          <w:rFonts w:ascii="Times New Roman" w:eastAsia="Calibri" w:hAnsi="Times New Roman"/>
          <w:sz w:val="24"/>
          <w:szCs w:val="24"/>
        </w:rPr>
        <w:t>Tijekom projekta TODOS promovirat će se sudjelovanje drugih ključnih skupina dionika kako bi se osigurala relevantnost rezultata. Te skupine uključuju: sveučilišne studente i diplomante, nastavnike, istraživače, radnike u zajednici, administratore, osoblje za razvoj kurikuluma, poslodavce, vršnjačke evaluatore kvalitete visokog obrazovanja i osoblje iz nacionalnih akreditacijskih sustava, između ostalog.</w:t>
      </w:r>
    </w:p>
    <w:p w14:paraId="754A7D82" w14:textId="3B2F42C8" w:rsidR="00207346" w:rsidRDefault="00D5226E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D5226E">
        <w:rPr>
          <w:rFonts w:ascii="Times New Roman" w:eastAsia="Calibri" w:hAnsi="Times New Roman"/>
          <w:sz w:val="24"/>
          <w:szCs w:val="24"/>
        </w:rPr>
        <w:t>TODOS je međuregionalni projekt koji će doprinijeti relevantnosti, inovacijama i kvaliteti visokog obrazovanja. kroz razvoj obrazovnih proizvoda usmjerenih na transformaciju za održivi lokalni razvoj.</w:t>
      </w:r>
    </w:p>
    <w:p w14:paraId="3AAD6127" w14:textId="77777777" w:rsidR="00C66E25" w:rsidRDefault="00C66E25" w:rsidP="00C66E25">
      <w:pPr>
        <w:spacing w:line="27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F21BCD6" w14:textId="2F6A99F0" w:rsidR="00C66E25" w:rsidRPr="00C66E25" w:rsidRDefault="00C66E25" w:rsidP="00D5226E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66E25">
        <w:rPr>
          <w:rFonts w:ascii="Times New Roman" w:eastAsia="Calibri" w:hAnsi="Times New Roman"/>
          <w:b/>
          <w:bCs/>
          <w:sz w:val="24"/>
          <w:szCs w:val="24"/>
        </w:rPr>
        <w:t>Naziv projekta: FEMLEAD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b/>
          <w:bCs/>
          <w:sz w:val="24"/>
          <w:szCs w:val="24"/>
        </w:rPr>
        <w:t>Fostering Female participation and leadership in open science initatives</w:t>
      </w:r>
    </w:p>
    <w:p w14:paraId="457D2A57" w14:textId="77777777" w:rsidR="00C66E25" w:rsidRPr="00C66E25" w:rsidRDefault="00C66E25" w:rsidP="00C66E25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FEMLEAD uvodi novi model za visokoobrazovne institucije (Higher Education Institutions, HEIs) radi provedbe sveobuhvatnih mjera za smanjenje spolne razlike (gender gap) u STEM području, preuzimajući središnju ulogu u društvenim promjenama.</w:t>
      </w:r>
    </w:p>
    <w:p w14:paraId="6DCE21D8" w14:textId="77777777" w:rsidR="00C66E25" w:rsidRPr="00C66E25" w:rsidRDefault="00C66E25" w:rsidP="00C66E25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Provodi se pristup s više dionika kako bi se unaprijedile prakse otvorene znanosti (Open Science, OS) i STEM inicijative u visokoobrazovnim institucijama, promičući rodnu raznolikost, uključivost i sustavnost.</w:t>
      </w:r>
    </w:p>
    <w:p w14:paraId="45BDC9C1" w14:textId="17F55E4C" w:rsidR="00207346" w:rsidRPr="00C66E25" w:rsidRDefault="00C66E25" w:rsidP="00C66E25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Zaposlenici, studenti, istraživači i zajednice žena (u manjinskom položaju), istraživačke organizacije te donositelji politika educiraju se i mobiliziraju kako bi omogućili sudjelovanje žena.</w:t>
      </w:r>
    </w:p>
    <w:p w14:paraId="6414432B" w14:textId="27A05505" w:rsidR="00207346" w:rsidRDefault="00207346" w:rsidP="00D70330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CEA6992" w14:textId="7E4E1D87" w:rsidR="00C66E25" w:rsidRDefault="00C66E25" w:rsidP="00D70330">
      <w:pPr>
        <w:spacing w:after="160"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66E25">
        <w:rPr>
          <w:rFonts w:ascii="Times New Roman" w:eastAsia="Calibri" w:hAnsi="Times New Roman"/>
          <w:b/>
          <w:bCs/>
          <w:sz w:val="24"/>
          <w:szCs w:val="24"/>
        </w:rPr>
        <w:lastRenderedPageBreak/>
        <w:t>Naziv projekta : Citizenship ED+ Active Citizenship Through Cross-Sectoral Cooperation</w:t>
      </w:r>
    </w:p>
    <w:p w14:paraId="374929D2" w14:textId="117C4F78" w:rsidR="00C66E25" w:rsidRPr="00C66E25" w:rsidRDefault="00C66E25" w:rsidP="00C66E25">
      <w:pPr>
        <w:spacing w:after="16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Projekt Građanstvo ED+ je suradnička inicijativa usmjerena na poboljšanje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obrazovanja o aktivnom građanstvu među mladim Europljanima. Primarni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ciljevi projekta su osnažiti mlade Europljane kroz aktivno građanstvo, pružiti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edukatorima i mladim radnicima učinkovite i inovativne nastavne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metodologije i alate te zalagati se za strukturirano obrazovanje o aktivnom građanstvu.</w:t>
      </w:r>
    </w:p>
    <w:p w14:paraId="47884857" w14:textId="7391F5CE" w:rsidR="00C66E25" w:rsidRPr="00C66E25" w:rsidRDefault="00C66E25" w:rsidP="00C66E25">
      <w:pPr>
        <w:spacing w:after="16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Ključni ciljevi uključuju razvoj sveobuhvatnog 30-satnog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nastavnog plana i programa, temeljenog na iskustvenom učenju u lokalnim zajednicama i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provedbu ovog nastavnog plana i programa u 8 srednjih škola u 4 zemlje, uključujući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najmanje 200 učenika. Osim toga, projekt ima za cilj razviti i distribuirati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smjernice za poučavanje aktivnog građanstva i pokrenuti kampanju zagovaranja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s obrazovnim vlastima. Inicijativa će kulminirati završnom međunarodnom stručnom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konferencijom, na kojoj će biti predstavljena postignuća i utjecaji na zajednicu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koje su ostvarili mladi sudionici.</w:t>
      </w:r>
    </w:p>
    <w:p w14:paraId="48E47728" w14:textId="3571A08F" w:rsidR="00C66E25" w:rsidRPr="00C66E25" w:rsidRDefault="00C66E25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CILJEVI</w:t>
      </w:r>
    </w:p>
    <w:p w14:paraId="2FAD7222" w14:textId="77777777" w:rsidR="00C66E25" w:rsidRDefault="00C66E25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• Osnažiti najmanje 200 mladih ljudi neformalnim metodama obrazovanja o aktivnom građanstvu</w:t>
      </w:r>
    </w:p>
    <w:p w14:paraId="5555780F" w14:textId="1E6F521A" w:rsidR="00C66E25" w:rsidRPr="00C66E25" w:rsidRDefault="00C66E25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• Razviti metodološke okvire za 200 učitelja i mladih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radnika za učinkovitije poučavanje aktivnog građanstva</w:t>
      </w:r>
    </w:p>
    <w:p w14:paraId="4AEBC5F8" w14:textId="77777777" w:rsidR="00C66E25" w:rsidRPr="00C66E25" w:rsidRDefault="00C66E25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• Poboljšati suradnju između formalnog i neformalnog obrazovanja</w:t>
      </w:r>
    </w:p>
    <w:p w14:paraId="158DFA03" w14:textId="2718797E" w:rsidR="00C66E25" w:rsidRPr="00C66E25" w:rsidRDefault="00C66E25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• Izraditi kurikulum o aktivnom građanstvu u srednjoškolskom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66E25">
        <w:rPr>
          <w:rFonts w:ascii="Times New Roman" w:eastAsia="Calibri" w:hAnsi="Times New Roman"/>
          <w:sz w:val="24"/>
          <w:szCs w:val="24"/>
        </w:rPr>
        <w:t>sustavu i ojačati partnerstva s nevladinim organizacijama za mlade</w:t>
      </w:r>
    </w:p>
    <w:p w14:paraId="02BD03F5" w14:textId="70F99749" w:rsidR="00C66E25" w:rsidRPr="00C66E25" w:rsidRDefault="00C66E25" w:rsidP="00C66E25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6E25">
        <w:rPr>
          <w:rFonts w:ascii="Times New Roman" w:eastAsia="Calibri" w:hAnsi="Times New Roman"/>
          <w:sz w:val="24"/>
          <w:szCs w:val="24"/>
        </w:rPr>
        <w:t>• Provesti kampanju zagovaranja s donositeljima odluka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4D27FA7A" w14:textId="7AFFEFCF" w:rsidR="001B2BFB" w:rsidRDefault="001B2BFB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8B7E6FD" w14:textId="77777777" w:rsidR="00EF26F6" w:rsidRPr="00560162" w:rsidRDefault="00EF26F6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79FE07E" w14:textId="7DE942E3" w:rsidR="00EF26F6" w:rsidRPr="00560162" w:rsidRDefault="00EF26F6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0162">
        <w:rPr>
          <w:rFonts w:ascii="Times New Roman" w:eastAsia="Calibri" w:hAnsi="Times New Roman"/>
          <w:sz w:val="24"/>
          <w:szCs w:val="24"/>
        </w:rPr>
        <w:t>Izvor 533 Ostale darovnice planiran je projekt:</w:t>
      </w:r>
    </w:p>
    <w:p w14:paraId="76288846" w14:textId="77777777" w:rsidR="00EF26F6" w:rsidRDefault="00EF26F6" w:rsidP="001B2BF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C622F64" w14:textId="1B569243" w:rsidR="001B2BFB" w:rsidRDefault="00C93911" w:rsidP="001B2BFB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93911">
        <w:rPr>
          <w:rFonts w:ascii="Times New Roman" w:eastAsia="Calibri" w:hAnsi="Times New Roman"/>
          <w:b/>
          <w:bCs/>
          <w:sz w:val="24"/>
          <w:szCs w:val="24"/>
        </w:rPr>
        <w:t>Naziv projekta: EUROBORDERWALKS - Walking Borders: advances in biographically informed ethno-mimetic research in the making and re-making of Europe's borders - towards a radical re-imaginin</w:t>
      </w:r>
    </w:p>
    <w:p w14:paraId="6335E20A" w14:textId="77777777" w:rsidR="001B2BFB" w:rsidRDefault="001B2BFB" w:rsidP="001B2BFB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41ECBFA1" w14:textId="0BC62FAF" w:rsidR="00CD313D" w:rsidRDefault="00CB2D81" w:rsidP="001B2BFB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B2D81">
        <w:rPr>
          <w:rFonts w:ascii="Times New Roman" w:hAnsi="Times New Roman"/>
          <w:sz w:val="24"/>
          <w:szCs w:val="24"/>
        </w:rPr>
        <w:t xml:space="preserve">Oslanjajući se primarno na kvalitativne metodološke pristupe, projekt nastoji doprinijeti spoznajama </w:t>
      </w:r>
      <w:r w:rsidRPr="00CB2D81">
        <w:rPr>
          <w:rFonts w:ascii="Times New Roman" w:eastAsia="Calibri" w:hAnsi="Times New Roman"/>
          <w:sz w:val="24"/>
          <w:szCs w:val="24"/>
        </w:rPr>
        <w:t>o itekako aktualnoj problematici granica, ponajprije načinu kako individue koji žive u pograničnim područjima razumiju granice. Njegujući interdisciplinarni pristup te kombinaciju strogosti znanstvene analize te artističku ekspresiju u fokusu istraživanja su 3 studije slučaja: granica UK/Irske, Poljske/Ukrajine te Hrvatske/BiH. Hrvatski dio istraživačkog tima provest će terenski dio istraživanja vezan uz potonji slučaj.</w:t>
      </w:r>
    </w:p>
    <w:p w14:paraId="0980D8BD" w14:textId="301C1F62" w:rsidR="00CB2D81" w:rsidRPr="00CD313D" w:rsidRDefault="00CB2D81" w:rsidP="001B2BFB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B2D81">
        <w:rPr>
          <w:rFonts w:ascii="Times New Roman" w:eastAsia="Calibri" w:hAnsi="Times New Roman"/>
          <w:sz w:val="24"/>
          <w:szCs w:val="24"/>
        </w:rPr>
        <w:t>Svrha i cilj projekta</w:t>
      </w:r>
      <w:r w:rsidR="004866BC">
        <w:rPr>
          <w:rFonts w:ascii="Times New Roman" w:eastAsia="Calibri" w:hAnsi="Times New Roman"/>
          <w:sz w:val="24"/>
          <w:szCs w:val="24"/>
        </w:rPr>
        <w:t xml:space="preserve"> su p</w:t>
      </w:r>
      <w:r w:rsidRPr="00CB2D81">
        <w:rPr>
          <w:rFonts w:ascii="Times New Roman" w:eastAsia="Calibri" w:hAnsi="Times New Roman"/>
          <w:sz w:val="24"/>
          <w:szCs w:val="24"/>
        </w:rPr>
        <w:t>rodubiti znanstveno relevantne spoznaje o vanjskim granicama EU-a.</w:t>
      </w:r>
    </w:p>
    <w:p w14:paraId="3124D1CD" w14:textId="6C9181A2" w:rsidR="00EF26F6" w:rsidRDefault="00EF26F6" w:rsidP="001B2BFB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5270DBA" w14:textId="77777777" w:rsidR="00EF26F6" w:rsidRPr="00C93911" w:rsidRDefault="00EF26F6" w:rsidP="001B2BFB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558BF50" w14:textId="77777777" w:rsidR="004320F0" w:rsidRDefault="004320F0" w:rsidP="007B5742">
      <w:pPr>
        <w:spacing w:after="160" w:line="256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36D120A5" w14:textId="10CFDB71" w:rsidR="007B5742" w:rsidRPr="007B5742" w:rsidRDefault="007B5742" w:rsidP="007B5742">
      <w:pPr>
        <w:rPr>
          <w:rFonts w:ascii="Times New Roman" w:eastAsia="Arial" w:hAnsi="Times New Roman"/>
          <w:bCs/>
          <w:sz w:val="24"/>
          <w:szCs w:val="24"/>
        </w:rPr>
      </w:pPr>
      <w:r w:rsidRPr="007B5742">
        <w:rPr>
          <w:rFonts w:ascii="Times New Roman" w:eastAsia="Arial" w:hAnsi="Times New Roman"/>
          <w:bCs/>
          <w:sz w:val="24"/>
          <w:szCs w:val="24"/>
        </w:rPr>
        <w:t xml:space="preserve">U Zagrebu, </w:t>
      </w:r>
      <w:r w:rsidR="00E50D2F">
        <w:rPr>
          <w:rFonts w:ascii="Times New Roman" w:eastAsia="Arial" w:hAnsi="Times New Roman"/>
          <w:bCs/>
          <w:sz w:val="24"/>
          <w:szCs w:val="24"/>
        </w:rPr>
        <w:t>17</w:t>
      </w:r>
      <w:r w:rsidRPr="007B5742">
        <w:rPr>
          <w:rFonts w:ascii="Times New Roman" w:eastAsia="Arial" w:hAnsi="Times New Roman"/>
          <w:bCs/>
          <w:sz w:val="24"/>
          <w:szCs w:val="24"/>
        </w:rPr>
        <w:t xml:space="preserve">. </w:t>
      </w:r>
      <w:r w:rsidR="00E50D2F">
        <w:rPr>
          <w:rFonts w:ascii="Times New Roman" w:eastAsia="Arial" w:hAnsi="Times New Roman"/>
          <w:bCs/>
          <w:sz w:val="24"/>
          <w:szCs w:val="24"/>
        </w:rPr>
        <w:t>prosinca</w:t>
      </w:r>
      <w:r w:rsidRPr="007B5742">
        <w:rPr>
          <w:rFonts w:ascii="Times New Roman" w:eastAsia="Arial" w:hAnsi="Times New Roman"/>
          <w:bCs/>
          <w:sz w:val="24"/>
          <w:szCs w:val="24"/>
        </w:rPr>
        <w:t xml:space="preserve"> 202</w:t>
      </w:r>
      <w:r w:rsidR="00560162">
        <w:rPr>
          <w:rFonts w:ascii="Times New Roman" w:eastAsia="Arial" w:hAnsi="Times New Roman"/>
          <w:bCs/>
          <w:sz w:val="24"/>
          <w:szCs w:val="24"/>
        </w:rPr>
        <w:t>5</w:t>
      </w:r>
      <w:r w:rsidRPr="007B5742">
        <w:rPr>
          <w:rFonts w:ascii="Times New Roman" w:eastAsia="Arial" w:hAnsi="Times New Roman"/>
          <w:bCs/>
          <w:sz w:val="24"/>
          <w:szCs w:val="24"/>
        </w:rPr>
        <w:t>.</w:t>
      </w:r>
    </w:p>
    <w:p w14:paraId="0FDE37AE" w14:textId="77777777" w:rsidR="007B5742" w:rsidRPr="007B5742" w:rsidRDefault="007B5742" w:rsidP="007B5742">
      <w:pPr>
        <w:rPr>
          <w:rFonts w:ascii="Times New Roman" w:eastAsia="Arial" w:hAnsi="Times New Roman"/>
          <w:bCs/>
          <w:sz w:val="24"/>
          <w:szCs w:val="24"/>
        </w:rPr>
      </w:pPr>
    </w:p>
    <w:p w14:paraId="5B0ACA9A" w14:textId="77777777" w:rsidR="007B5742" w:rsidRPr="007B5742" w:rsidRDefault="007B5742" w:rsidP="007B5742">
      <w:pPr>
        <w:rPr>
          <w:rFonts w:ascii="Times New Roman" w:eastAsia="Arial" w:hAnsi="Times New Roman"/>
          <w:sz w:val="24"/>
          <w:szCs w:val="24"/>
        </w:rPr>
      </w:pPr>
    </w:p>
    <w:p w14:paraId="519B529A" w14:textId="10418C20" w:rsidR="00E1055F" w:rsidRPr="003F74FC" w:rsidRDefault="00E1055F" w:rsidP="00E105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3F74FC">
        <w:rPr>
          <w:rFonts w:ascii="Times New Roman" w:hAnsi="Times New Roman"/>
          <w:sz w:val="24"/>
          <w:szCs w:val="24"/>
        </w:rPr>
        <w:t>Dekan</w:t>
      </w:r>
    </w:p>
    <w:p w14:paraId="4EBCBE87" w14:textId="77777777" w:rsidR="00E1055F" w:rsidRPr="003F74FC" w:rsidRDefault="00E1055F" w:rsidP="00E1055F">
      <w:pPr>
        <w:rPr>
          <w:rFonts w:ascii="Times New Roman" w:hAnsi="Times New Roman"/>
          <w:sz w:val="24"/>
          <w:szCs w:val="24"/>
        </w:rPr>
      </w:pPr>
    </w:p>
    <w:p w14:paraId="39E6200E" w14:textId="4F67DFD2" w:rsidR="00E1055F" w:rsidRPr="003F74FC" w:rsidRDefault="00E1055F" w:rsidP="00E1055F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____________________________</w:t>
      </w:r>
      <w:r w:rsidRPr="003F74FC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7A686FB2" w14:textId="692CD399" w:rsidR="003F74FC" w:rsidRPr="00B55A24" w:rsidRDefault="00E1055F" w:rsidP="00DB2B6F">
      <w:pPr>
        <w:spacing w:before="120"/>
        <w:rPr>
          <w:rFonts w:ascii="Times New Roman" w:hAnsi="Times New Roman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 xml:space="preserve">    </w:t>
      </w:r>
      <w:r w:rsidR="00560162">
        <w:rPr>
          <w:rFonts w:ascii="Times New Roman" w:hAnsi="Times New Roman"/>
          <w:sz w:val="24"/>
          <w:szCs w:val="24"/>
        </w:rPr>
        <w:t>Red</w:t>
      </w:r>
      <w:r>
        <w:rPr>
          <w:rFonts w:ascii="Times New Roman" w:hAnsi="Times New Roman"/>
          <w:sz w:val="24"/>
          <w:szCs w:val="24"/>
        </w:rPr>
        <w:t>. p</w:t>
      </w:r>
      <w:r w:rsidRPr="003F74FC">
        <w:rPr>
          <w:rFonts w:ascii="Times New Roman" w:hAnsi="Times New Roman"/>
          <w:sz w:val="24"/>
          <w:szCs w:val="24"/>
        </w:rPr>
        <w:t>rof.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>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 xml:space="preserve">sc. </w:t>
      </w:r>
      <w:r>
        <w:rPr>
          <w:rFonts w:ascii="Times New Roman" w:hAnsi="Times New Roman"/>
          <w:sz w:val="24"/>
          <w:szCs w:val="24"/>
        </w:rPr>
        <w:t>Domagoj Tončinić</w:t>
      </w:r>
    </w:p>
    <w:sectPr w:rsidR="003F74FC" w:rsidRPr="00B55A24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2527" w14:textId="77777777" w:rsidR="00192372" w:rsidRDefault="00192372" w:rsidP="00364558">
      <w:r>
        <w:separator/>
      </w:r>
    </w:p>
  </w:endnote>
  <w:endnote w:type="continuationSeparator" w:id="0">
    <w:p w14:paraId="05DFA19E" w14:textId="77777777" w:rsidR="00192372" w:rsidRDefault="00192372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080220"/>
      <w:docPartObj>
        <w:docPartGallery w:val="Page Numbers (Bottom of Page)"/>
        <w:docPartUnique/>
      </w:docPartObj>
    </w:sdtPr>
    <w:sdtEndPr/>
    <w:sdtContent>
      <w:p w14:paraId="342AF477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36">
          <w:rPr>
            <w:noProof/>
          </w:rPr>
          <w:t>3</w:t>
        </w:r>
        <w:r>
          <w:fldChar w:fldCharType="end"/>
        </w:r>
      </w:p>
    </w:sdtContent>
  </w:sdt>
  <w:p w14:paraId="6EF1535E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F0CE" w14:textId="77777777" w:rsidR="00192372" w:rsidRDefault="00192372" w:rsidP="00364558">
      <w:r>
        <w:separator/>
      </w:r>
    </w:p>
  </w:footnote>
  <w:footnote w:type="continuationSeparator" w:id="0">
    <w:p w14:paraId="418E9FD0" w14:textId="77777777" w:rsidR="00192372" w:rsidRDefault="00192372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1DE"/>
    <w:multiLevelType w:val="hybridMultilevel"/>
    <w:tmpl w:val="7AB28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6123"/>
    <w:multiLevelType w:val="multilevel"/>
    <w:tmpl w:val="944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22399"/>
    <w:multiLevelType w:val="hybridMultilevel"/>
    <w:tmpl w:val="7F66D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6C3D"/>
    <w:rsid w:val="00011E82"/>
    <w:rsid w:val="0001230C"/>
    <w:rsid w:val="00014222"/>
    <w:rsid w:val="00015711"/>
    <w:rsid w:val="00015A4E"/>
    <w:rsid w:val="00021820"/>
    <w:rsid w:val="0002248F"/>
    <w:rsid w:val="0002304C"/>
    <w:rsid w:val="000266F7"/>
    <w:rsid w:val="00030BA9"/>
    <w:rsid w:val="000400B0"/>
    <w:rsid w:val="000444AB"/>
    <w:rsid w:val="00044B1E"/>
    <w:rsid w:val="00050C3D"/>
    <w:rsid w:val="000650F4"/>
    <w:rsid w:val="00073863"/>
    <w:rsid w:val="00073E8B"/>
    <w:rsid w:val="00075D5B"/>
    <w:rsid w:val="00076669"/>
    <w:rsid w:val="00076802"/>
    <w:rsid w:val="00082044"/>
    <w:rsid w:val="000840B1"/>
    <w:rsid w:val="00084FFE"/>
    <w:rsid w:val="00086CB5"/>
    <w:rsid w:val="00092EAE"/>
    <w:rsid w:val="00094F7B"/>
    <w:rsid w:val="00095F8D"/>
    <w:rsid w:val="000A181F"/>
    <w:rsid w:val="000A364C"/>
    <w:rsid w:val="000A6A74"/>
    <w:rsid w:val="000C23C2"/>
    <w:rsid w:val="000C289F"/>
    <w:rsid w:val="000C3DA0"/>
    <w:rsid w:val="000D04B6"/>
    <w:rsid w:val="000D0B25"/>
    <w:rsid w:val="000E3B1E"/>
    <w:rsid w:val="000E41A5"/>
    <w:rsid w:val="00100E35"/>
    <w:rsid w:val="00104782"/>
    <w:rsid w:val="00110F64"/>
    <w:rsid w:val="00112CC2"/>
    <w:rsid w:val="00114814"/>
    <w:rsid w:val="0012555D"/>
    <w:rsid w:val="00130429"/>
    <w:rsid w:val="0013670A"/>
    <w:rsid w:val="00136E04"/>
    <w:rsid w:val="00153F3F"/>
    <w:rsid w:val="001555B0"/>
    <w:rsid w:val="00156C50"/>
    <w:rsid w:val="00157EB7"/>
    <w:rsid w:val="00167990"/>
    <w:rsid w:val="00174937"/>
    <w:rsid w:val="001757A4"/>
    <w:rsid w:val="0017633E"/>
    <w:rsid w:val="00181399"/>
    <w:rsid w:val="00190918"/>
    <w:rsid w:val="00192372"/>
    <w:rsid w:val="0019327E"/>
    <w:rsid w:val="001A06AC"/>
    <w:rsid w:val="001A13CA"/>
    <w:rsid w:val="001A2B62"/>
    <w:rsid w:val="001B287A"/>
    <w:rsid w:val="001B2BFB"/>
    <w:rsid w:val="001B535C"/>
    <w:rsid w:val="001C3364"/>
    <w:rsid w:val="001C41A4"/>
    <w:rsid w:val="001D34F9"/>
    <w:rsid w:val="001D60ED"/>
    <w:rsid w:val="001D772F"/>
    <w:rsid w:val="001E3F69"/>
    <w:rsid w:val="001E638F"/>
    <w:rsid w:val="001E6E4D"/>
    <w:rsid w:val="001F32C5"/>
    <w:rsid w:val="001F66BE"/>
    <w:rsid w:val="00204063"/>
    <w:rsid w:val="00207346"/>
    <w:rsid w:val="002136CF"/>
    <w:rsid w:val="0021429A"/>
    <w:rsid w:val="00225244"/>
    <w:rsid w:val="00227C86"/>
    <w:rsid w:val="002342BD"/>
    <w:rsid w:val="002417FF"/>
    <w:rsid w:val="00244D2C"/>
    <w:rsid w:val="00261904"/>
    <w:rsid w:val="0026366B"/>
    <w:rsid w:val="00263785"/>
    <w:rsid w:val="00263E31"/>
    <w:rsid w:val="00263FDE"/>
    <w:rsid w:val="00266CD4"/>
    <w:rsid w:val="00266ECC"/>
    <w:rsid w:val="00280091"/>
    <w:rsid w:val="0028379F"/>
    <w:rsid w:val="00286B9C"/>
    <w:rsid w:val="002876CE"/>
    <w:rsid w:val="002904F7"/>
    <w:rsid w:val="002936CD"/>
    <w:rsid w:val="00294759"/>
    <w:rsid w:val="002A6ED5"/>
    <w:rsid w:val="002B046B"/>
    <w:rsid w:val="002B167F"/>
    <w:rsid w:val="002B6B06"/>
    <w:rsid w:val="002C2FF9"/>
    <w:rsid w:val="002C7A13"/>
    <w:rsid w:val="002C7F74"/>
    <w:rsid w:val="002D1234"/>
    <w:rsid w:val="002D1F96"/>
    <w:rsid w:val="002D4DC4"/>
    <w:rsid w:val="002D7EC9"/>
    <w:rsid w:val="002E33ED"/>
    <w:rsid w:val="002E4D7B"/>
    <w:rsid w:val="002E7963"/>
    <w:rsid w:val="002F2AB4"/>
    <w:rsid w:val="002F4EB0"/>
    <w:rsid w:val="002F5770"/>
    <w:rsid w:val="0030684F"/>
    <w:rsid w:val="003161A8"/>
    <w:rsid w:val="0031646C"/>
    <w:rsid w:val="003257D9"/>
    <w:rsid w:val="003304F8"/>
    <w:rsid w:val="00333B21"/>
    <w:rsid w:val="0034527C"/>
    <w:rsid w:val="00351788"/>
    <w:rsid w:val="003520AC"/>
    <w:rsid w:val="00352A65"/>
    <w:rsid w:val="003549DE"/>
    <w:rsid w:val="00355332"/>
    <w:rsid w:val="00360D89"/>
    <w:rsid w:val="0036312C"/>
    <w:rsid w:val="00363D52"/>
    <w:rsid w:val="00364558"/>
    <w:rsid w:val="00372FFB"/>
    <w:rsid w:val="00375D96"/>
    <w:rsid w:val="00383D5F"/>
    <w:rsid w:val="00392684"/>
    <w:rsid w:val="003947D1"/>
    <w:rsid w:val="00396D54"/>
    <w:rsid w:val="003A72DA"/>
    <w:rsid w:val="003B0CEF"/>
    <w:rsid w:val="003B1CDB"/>
    <w:rsid w:val="003B4496"/>
    <w:rsid w:val="003B7893"/>
    <w:rsid w:val="003C7EF2"/>
    <w:rsid w:val="003D217D"/>
    <w:rsid w:val="003D2601"/>
    <w:rsid w:val="003D38AC"/>
    <w:rsid w:val="003D44CC"/>
    <w:rsid w:val="003E2782"/>
    <w:rsid w:val="003E54EF"/>
    <w:rsid w:val="003E68FF"/>
    <w:rsid w:val="003F74FC"/>
    <w:rsid w:val="00401B96"/>
    <w:rsid w:val="00402876"/>
    <w:rsid w:val="00402B05"/>
    <w:rsid w:val="0040348B"/>
    <w:rsid w:val="0040579C"/>
    <w:rsid w:val="00410141"/>
    <w:rsid w:val="004107B9"/>
    <w:rsid w:val="00415406"/>
    <w:rsid w:val="00420F78"/>
    <w:rsid w:val="00421467"/>
    <w:rsid w:val="00421704"/>
    <w:rsid w:val="00422C63"/>
    <w:rsid w:val="00423C88"/>
    <w:rsid w:val="00425EAD"/>
    <w:rsid w:val="0042681E"/>
    <w:rsid w:val="004320F0"/>
    <w:rsid w:val="0043676B"/>
    <w:rsid w:val="00436A3C"/>
    <w:rsid w:val="00437BC6"/>
    <w:rsid w:val="00437F13"/>
    <w:rsid w:val="00450695"/>
    <w:rsid w:val="00455216"/>
    <w:rsid w:val="004561B3"/>
    <w:rsid w:val="00456442"/>
    <w:rsid w:val="00465AF3"/>
    <w:rsid w:val="00472C0B"/>
    <w:rsid w:val="004740BA"/>
    <w:rsid w:val="004776E8"/>
    <w:rsid w:val="00480EDB"/>
    <w:rsid w:val="00481ECA"/>
    <w:rsid w:val="0048254C"/>
    <w:rsid w:val="00483EC6"/>
    <w:rsid w:val="004866BC"/>
    <w:rsid w:val="00486F2A"/>
    <w:rsid w:val="004928F7"/>
    <w:rsid w:val="0049319C"/>
    <w:rsid w:val="004943A7"/>
    <w:rsid w:val="004944BB"/>
    <w:rsid w:val="00496216"/>
    <w:rsid w:val="0049738F"/>
    <w:rsid w:val="004A08EC"/>
    <w:rsid w:val="004A41EC"/>
    <w:rsid w:val="004A7200"/>
    <w:rsid w:val="004B2E37"/>
    <w:rsid w:val="004C4D50"/>
    <w:rsid w:val="004C7955"/>
    <w:rsid w:val="004D105C"/>
    <w:rsid w:val="004D39A7"/>
    <w:rsid w:val="004E2308"/>
    <w:rsid w:val="004E2686"/>
    <w:rsid w:val="004E73F0"/>
    <w:rsid w:val="004F1E75"/>
    <w:rsid w:val="004F478D"/>
    <w:rsid w:val="004F5397"/>
    <w:rsid w:val="004F5E0A"/>
    <w:rsid w:val="005042CE"/>
    <w:rsid w:val="00507441"/>
    <w:rsid w:val="005076D6"/>
    <w:rsid w:val="0052198B"/>
    <w:rsid w:val="005247BE"/>
    <w:rsid w:val="005269FB"/>
    <w:rsid w:val="00530A11"/>
    <w:rsid w:val="005318C3"/>
    <w:rsid w:val="00531E63"/>
    <w:rsid w:val="00552B5A"/>
    <w:rsid w:val="00560162"/>
    <w:rsid w:val="00571654"/>
    <w:rsid w:val="005857A8"/>
    <w:rsid w:val="00590655"/>
    <w:rsid w:val="00593403"/>
    <w:rsid w:val="005942BF"/>
    <w:rsid w:val="0059738A"/>
    <w:rsid w:val="005B5F3A"/>
    <w:rsid w:val="005B6220"/>
    <w:rsid w:val="005C09C5"/>
    <w:rsid w:val="005C3F89"/>
    <w:rsid w:val="005C64A1"/>
    <w:rsid w:val="005D3723"/>
    <w:rsid w:val="005D6F1D"/>
    <w:rsid w:val="005E722F"/>
    <w:rsid w:val="005E7A49"/>
    <w:rsid w:val="005F08BA"/>
    <w:rsid w:val="005F08CC"/>
    <w:rsid w:val="005F1BD2"/>
    <w:rsid w:val="005F39BD"/>
    <w:rsid w:val="005F5137"/>
    <w:rsid w:val="005F63B1"/>
    <w:rsid w:val="005F7118"/>
    <w:rsid w:val="005F7C5E"/>
    <w:rsid w:val="006001D7"/>
    <w:rsid w:val="0060588E"/>
    <w:rsid w:val="00606115"/>
    <w:rsid w:val="00607040"/>
    <w:rsid w:val="00610E04"/>
    <w:rsid w:val="00613515"/>
    <w:rsid w:val="006147D3"/>
    <w:rsid w:val="00615106"/>
    <w:rsid w:val="006174D9"/>
    <w:rsid w:val="00626273"/>
    <w:rsid w:val="00634726"/>
    <w:rsid w:val="00645668"/>
    <w:rsid w:val="0065160D"/>
    <w:rsid w:val="0065186F"/>
    <w:rsid w:val="00653245"/>
    <w:rsid w:val="00653891"/>
    <w:rsid w:val="00661161"/>
    <w:rsid w:val="00664902"/>
    <w:rsid w:val="00664BCF"/>
    <w:rsid w:val="0066739E"/>
    <w:rsid w:val="00671EB8"/>
    <w:rsid w:val="0068132C"/>
    <w:rsid w:val="00684817"/>
    <w:rsid w:val="00685063"/>
    <w:rsid w:val="006A0EBF"/>
    <w:rsid w:val="006A10B2"/>
    <w:rsid w:val="006A2AD8"/>
    <w:rsid w:val="006A3171"/>
    <w:rsid w:val="006A3AE8"/>
    <w:rsid w:val="006A5FFD"/>
    <w:rsid w:val="006A62D8"/>
    <w:rsid w:val="006B1D10"/>
    <w:rsid w:val="006B3658"/>
    <w:rsid w:val="006B5CA2"/>
    <w:rsid w:val="006B7F15"/>
    <w:rsid w:val="006C0B22"/>
    <w:rsid w:val="006C2716"/>
    <w:rsid w:val="006C29A5"/>
    <w:rsid w:val="006C4BDB"/>
    <w:rsid w:val="006D1F37"/>
    <w:rsid w:val="006D30D4"/>
    <w:rsid w:val="006D3F17"/>
    <w:rsid w:val="006D70F8"/>
    <w:rsid w:val="006E19B2"/>
    <w:rsid w:val="006E5572"/>
    <w:rsid w:val="006F7F84"/>
    <w:rsid w:val="00702D47"/>
    <w:rsid w:val="0070637F"/>
    <w:rsid w:val="007079B7"/>
    <w:rsid w:val="007104D7"/>
    <w:rsid w:val="00710BBC"/>
    <w:rsid w:val="00710DA8"/>
    <w:rsid w:val="00711119"/>
    <w:rsid w:val="00722711"/>
    <w:rsid w:val="007244C3"/>
    <w:rsid w:val="00727052"/>
    <w:rsid w:val="00731215"/>
    <w:rsid w:val="007330DE"/>
    <w:rsid w:val="00734339"/>
    <w:rsid w:val="007346B2"/>
    <w:rsid w:val="00735C80"/>
    <w:rsid w:val="00745E51"/>
    <w:rsid w:val="00751907"/>
    <w:rsid w:val="007555FB"/>
    <w:rsid w:val="0076039F"/>
    <w:rsid w:val="00762B36"/>
    <w:rsid w:val="0076589C"/>
    <w:rsid w:val="00767EA4"/>
    <w:rsid w:val="007726DC"/>
    <w:rsid w:val="00775B95"/>
    <w:rsid w:val="00777CDD"/>
    <w:rsid w:val="00787566"/>
    <w:rsid w:val="00793BCD"/>
    <w:rsid w:val="00797B9E"/>
    <w:rsid w:val="007A0964"/>
    <w:rsid w:val="007A21AF"/>
    <w:rsid w:val="007A2B2B"/>
    <w:rsid w:val="007A40F3"/>
    <w:rsid w:val="007A41A7"/>
    <w:rsid w:val="007A6625"/>
    <w:rsid w:val="007B3E9F"/>
    <w:rsid w:val="007B5742"/>
    <w:rsid w:val="007C2FAA"/>
    <w:rsid w:val="007C60D4"/>
    <w:rsid w:val="007C6A15"/>
    <w:rsid w:val="007D32AB"/>
    <w:rsid w:val="007D4AC3"/>
    <w:rsid w:val="007E2380"/>
    <w:rsid w:val="007E28C1"/>
    <w:rsid w:val="007F2B18"/>
    <w:rsid w:val="007F46E5"/>
    <w:rsid w:val="00802061"/>
    <w:rsid w:val="008028FF"/>
    <w:rsid w:val="00804002"/>
    <w:rsid w:val="008057D5"/>
    <w:rsid w:val="008079F0"/>
    <w:rsid w:val="00810FD5"/>
    <w:rsid w:val="00811121"/>
    <w:rsid w:val="00813136"/>
    <w:rsid w:val="00817853"/>
    <w:rsid w:val="00817DA0"/>
    <w:rsid w:val="00817E3D"/>
    <w:rsid w:val="008218D7"/>
    <w:rsid w:val="00823D09"/>
    <w:rsid w:val="00830E58"/>
    <w:rsid w:val="0083364D"/>
    <w:rsid w:val="008345E5"/>
    <w:rsid w:val="00841E12"/>
    <w:rsid w:val="00843AAA"/>
    <w:rsid w:val="00846325"/>
    <w:rsid w:val="0084713A"/>
    <w:rsid w:val="008532EF"/>
    <w:rsid w:val="00872A6C"/>
    <w:rsid w:val="00883D05"/>
    <w:rsid w:val="00884E0E"/>
    <w:rsid w:val="0088541B"/>
    <w:rsid w:val="00886293"/>
    <w:rsid w:val="00886531"/>
    <w:rsid w:val="008866C7"/>
    <w:rsid w:val="00886A78"/>
    <w:rsid w:val="00892F04"/>
    <w:rsid w:val="00895288"/>
    <w:rsid w:val="00895948"/>
    <w:rsid w:val="008A2EDD"/>
    <w:rsid w:val="008B367A"/>
    <w:rsid w:val="008B3EF0"/>
    <w:rsid w:val="008C68AC"/>
    <w:rsid w:val="008D4D2F"/>
    <w:rsid w:val="008E1639"/>
    <w:rsid w:val="008E27EB"/>
    <w:rsid w:val="008E79E7"/>
    <w:rsid w:val="008F4E9E"/>
    <w:rsid w:val="008F6182"/>
    <w:rsid w:val="009000DA"/>
    <w:rsid w:val="00900F16"/>
    <w:rsid w:val="0090236E"/>
    <w:rsid w:val="00904107"/>
    <w:rsid w:val="00911589"/>
    <w:rsid w:val="009121C3"/>
    <w:rsid w:val="009129E0"/>
    <w:rsid w:val="00934B94"/>
    <w:rsid w:val="00940A07"/>
    <w:rsid w:val="0094668C"/>
    <w:rsid w:val="00947FFC"/>
    <w:rsid w:val="00950656"/>
    <w:rsid w:val="00952B40"/>
    <w:rsid w:val="0095437F"/>
    <w:rsid w:val="0095671C"/>
    <w:rsid w:val="009622C2"/>
    <w:rsid w:val="0096374C"/>
    <w:rsid w:val="00974BE3"/>
    <w:rsid w:val="0097662D"/>
    <w:rsid w:val="00977B4C"/>
    <w:rsid w:val="00980527"/>
    <w:rsid w:val="00986EE4"/>
    <w:rsid w:val="009879B7"/>
    <w:rsid w:val="009A12FD"/>
    <w:rsid w:val="009A143F"/>
    <w:rsid w:val="009A1D2D"/>
    <w:rsid w:val="009A36EC"/>
    <w:rsid w:val="009A381C"/>
    <w:rsid w:val="009B145D"/>
    <w:rsid w:val="009B58C5"/>
    <w:rsid w:val="009C32C4"/>
    <w:rsid w:val="009C334A"/>
    <w:rsid w:val="009C4DEE"/>
    <w:rsid w:val="009C7AF4"/>
    <w:rsid w:val="009D56C9"/>
    <w:rsid w:val="009D6C14"/>
    <w:rsid w:val="009D6ED8"/>
    <w:rsid w:val="009E54A8"/>
    <w:rsid w:val="009F134D"/>
    <w:rsid w:val="009F2BC9"/>
    <w:rsid w:val="009F5581"/>
    <w:rsid w:val="009F6598"/>
    <w:rsid w:val="00A06808"/>
    <w:rsid w:val="00A1007B"/>
    <w:rsid w:val="00A13A52"/>
    <w:rsid w:val="00A1592A"/>
    <w:rsid w:val="00A16479"/>
    <w:rsid w:val="00A16C21"/>
    <w:rsid w:val="00A170D9"/>
    <w:rsid w:val="00A24279"/>
    <w:rsid w:val="00A26DA4"/>
    <w:rsid w:val="00A26F92"/>
    <w:rsid w:val="00A328B7"/>
    <w:rsid w:val="00A32A17"/>
    <w:rsid w:val="00A371B4"/>
    <w:rsid w:val="00A41B8D"/>
    <w:rsid w:val="00A43157"/>
    <w:rsid w:val="00A43C50"/>
    <w:rsid w:val="00A52FC0"/>
    <w:rsid w:val="00A57152"/>
    <w:rsid w:val="00A61E52"/>
    <w:rsid w:val="00A63B3D"/>
    <w:rsid w:val="00A65A16"/>
    <w:rsid w:val="00A66735"/>
    <w:rsid w:val="00A725DD"/>
    <w:rsid w:val="00A73D42"/>
    <w:rsid w:val="00A814A6"/>
    <w:rsid w:val="00A81F0E"/>
    <w:rsid w:val="00A83C10"/>
    <w:rsid w:val="00A86F07"/>
    <w:rsid w:val="00A905AD"/>
    <w:rsid w:val="00A93700"/>
    <w:rsid w:val="00AA0DE8"/>
    <w:rsid w:val="00AA7A2A"/>
    <w:rsid w:val="00AB09A4"/>
    <w:rsid w:val="00AB3111"/>
    <w:rsid w:val="00AB7A4C"/>
    <w:rsid w:val="00AC2D5B"/>
    <w:rsid w:val="00AC6298"/>
    <w:rsid w:val="00AD44CB"/>
    <w:rsid w:val="00AD5E1E"/>
    <w:rsid w:val="00AE1439"/>
    <w:rsid w:val="00AF1A8C"/>
    <w:rsid w:val="00AF4530"/>
    <w:rsid w:val="00AF7546"/>
    <w:rsid w:val="00AF7D22"/>
    <w:rsid w:val="00B02C14"/>
    <w:rsid w:val="00B135FC"/>
    <w:rsid w:val="00B24942"/>
    <w:rsid w:val="00B250EF"/>
    <w:rsid w:val="00B36E14"/>
    <w:rsid w:val="00B42BB0"/>
    <w:rsid w:val="00B47110"/>
    <w:rsid w:val="00B52F8F"/>
    <w:rsid w:val="00B55A24"/>
    <w:rsid w:val="00B62BF2"/>
    <w:rsid w:val="00B62BFD"/>
    <w:rsid w:val="00B710EF"/>
    <w:rsid w:val="00B759D0"/>
    <w:rsid w:val="00B764ED"/>
    <w:rsid w:val="00B7789D"/>
    <w:rsid w:val="00B779C9"/>
    <w:rsid w:val="00B85266"/>
    <w:rsid w:val="00BB16AD"/>
    <w:rsid w:val="00BB1D2F"/>
    <w:rsid w:val="00BB5B42"/>
    <w:rsid w:val="00BB5D74"/>
    <w:rsid w:val="00BB7C8D"/>
    <w:rsid w:val="00BC42A0"/>
    <w:rsid w:val="00BC44E5"/>
    <w:rsid w:val="00BC6DFC"/>
    <w:rsid w:val="00BD2EC5"/>
    <w:rsid w:val="00BD2EF2"/>
    <w:rsid w:val="00BD3F0B"/>
    <w:rsid w:val="00BD452F"/>
    <w:rsid w:val="00BD54BC"/>
    <w:rsid w:val="00BE1159"/>
    <w:rsid w:val="00BF2FD1"/>
    <w:rsid w:val="00BF4AEB"/>
    <w:rsid w:val="00BF5AB5"/>
    <w:rsid w:val="00C03D2E"/>
    <w:rsid w:val="00C11CAD"/>
    <w:rsid w:val="00C156E4"/>
    <w:rsid w:val="00C173F1"/>
    <w:rsid w:val="00C251D8"/>
    <w:rsid w:val="00C260CD"/>
    <w:rsid w:val="00C30A89"/>
    <w:rsid w:val="00C35455"/>
    <w:rsid w:val="00C37847"/>
    <w:rsid w:val="00C52861"/>
    <w:rsid w:val="00C55CF9"/>
    <w:rsid w:val="00C56DD1"/>
    <w:rsid w:val="00C613E0"/>
    <w:rsid w:val="00C66E25"/>
    <w:rsid w:val="00C73AE6"/>
    <w:rsid w:val="00C7402F"/>
    <w:rsid w:val="00C805A2"/>
    <w:rsid w:val="00C8214B"/>
    <w:rsid w:val="00C86041"/>
    <w:rsid w:val="00C86708"/>
    <w:rsid w:val="00C916D7"/>
    <w:rsid w:val="00C92CB8"/>
    <w:rsid w:val="00C93911"/>
    <w:rsid w:val="00CA2F47"/>
    <w:rsid w:val="00CA3254"/>
    <w:rsid w:val="00CA41E9"/>
    <w:rsid w:val="00CA5262"/>
    <w:rsid w:val="00CB2D81"/>
    <w:rsid w:val="00CB3291"/>
    <w:rsid w:val="00CB5688"/>
    <w:rsid w:val="00CC013C"/>
    <w:rsid w:val="00CC0D87"/>
    <w:rsid w:val="00CC4D0C"/>
    <w:rsid w:val="00CD0FAE"/>
    <w:rsid w:val="00CD313D"/>
    <w:rsid w:val="00CD34C7"/>
    <w:rsid w:val="00CD387B"/>
    <w:rsid w:val="00CD7258"/>
    <w:rsid w:val="00CE0D58"/>
    <w:rsid w:val="00CE2B3E"/>
    <w:rsid w:val="00CE3026"/>
    <w:rsid w:val="00CE74E2"/>
    <w:rsid w:val="00CF0F11"/>
    <w:rsid w:val="00CF6D6F"/>
    <w:rsid w:val="00D0191A"/>
    <w:rsid w:val="00D024E4"/>
    <w:rsid w:val="00D077E9"/>
    <w:rsid w:val="00D13095"/>
    <w:rsid w:val="00D16B94"/>
    <w:rsid w:val="00D2156C"/>
    <w:rsid w:val="00D25C96"/>
    <w:rsid w:val="00D27FAE"/>
    <w:rsid w:val="00D30248"/>
    <w:rsid w:val="00D357F1"/>
    <w:rsid w:val="00D457D6"/>
    <w:rsid w:val="00D465E8"/>
    <w:rsid w:val="00D46AC8"/>
    <w:rsid w:val="00D5226E"/>
    <w:rsid w:val="00D53115"/>
    <w:rsid w:val="00D65224"/>
    <w:rsid w:val="00D6558C"/>
    <w:rsid w:val="00D65D4A"/>
    <w:rsid w:val="00D65F44"/>
    <w:rsid w:val="00D66F98"/>
    <w:rsid w:val="00D67C2D"/>
    <w:rsid w:val="00D70330"/>
    <w:rsid w:val="00D75999"/>
    <w:rsid w:val="00D761DD"/>
    <w:rsid w:val="00D77381"/>
    <w:rsid w:val="00D84206"/>
    <w:rsid w:val="00D863BB"/>
    <w:rsid w:val="00D86FCF"/>
    <w:rsid w:val="00D90AC1"/>
    <w:rsid w:val="00D9261F"/>
    <w:rsid w:val="00D933FD"/>
    <w:rsid w:val="00D9457B"/>
    <w:rsid w:val="00D9485A"/>
    <w:rsid w:val="00D94C95"/>
    <w:rsid w:val="00D950B8"/>
    <w:rsid w:val="00D9616D"/>
    <w:rsid w:val="00D967D4"/>
    <w:rsid w:val="00DA05CE"/>
    <w:rsid w:val="00DA3DE1"/>
    <w:rsid w:val="00DA4B01"/>
    <w:rsid w:val="00DA621C"/>
    <w:rsid w:val="00DB0F15"/>
    <w:rsid w:val="00DB2B6F"/>
    <w:rsid w:val="00DB46EE"/>
    <w:rsid w:val="00DC2789"/>
    <w:rsid w:val="00DC475F"/>
    <w:rsid w:val="00DC48B4"/>
    <w:rsid w:val="00DC620E"/>
    <w:rsid w:val="00DC62A6"/>
    <w:rsid w:val="00DD04E4"/>
    <w:rsid w:val="00DD2BCE"/>
    <w:rsid w:val="00DE0649"/>
    <w:rsid w:val="00DE1394"/>
    <w:rsid w:val="00DE27E1"/>
    <w:rsid w:val="00DF36F6"/>
    <w:rsid w:val="00E01FE2"/>
    <w:rsid w:val="00E036DD"/>
    <w:rsid w:val="00E05C63"/>
    <w:rsid w:val="00E06614"/>
    <w:rsid w:val="00E075D6"/>
    <w:rsid w:val="00E1055F"/>
    <w:rsid w:val="00E115B2"/>
    <w:rsid w:val="00E13E93"/>
    <w:rsid w:val="00E141D2"/>
    <w:rsid w:val="00E14227"/>
    <w:rsid w:val="00E1439B"/>
    <w:rsid w:val="00E22850"/>
    <w:rsid w:val="00E23842"/>
    <w:rsid w:val="00E249F3"/>
    <w:rsid w:val="00E37B35"/>
    <w:rsid w:val="00E444E9"/>
    <w:rsid w:val="00E463C5"/>
    <w:rsid w:val="00E4718E"/>
    <w:rsid w:val="00E50D2F"/>
    <w:rsid w:val="00E51448"/>
    <w:rsid w:val="00E51ED5"/>
    <w:rsid w:val="00E55AAE"/>
    <w:rsid w:val="00E6303D"/>
    <w:rsid w:val="00E66808"/>
    <w:rsid w:val="00E668EF"/>
    <w:rsid w:val="00E67393"/>
    <w:rsid w:val="00E67FEF"/>
    <w:rsid w:val="00E7655F"/>
    <w:rsid w:val="00E76C85"/>
    <w:rsid w:val="00E8451F"/>
    <w:rsid w:val="00E8592F"/>
    <w:rsid w:val="00E918DE"/>
    <w:rsid w:val="00E9221B"/>
    <w:rsid w:val="00E927CD"/>
    <w:rsid w:val="00E93F46"/>
    <w:rsid w:val="00E9460C"/>
    <w:rsid w:val="00E949D4"/>
    <w:rsid w:val="00E97612"/>
    <w:rsid w:val="00EA1F79"/>
    <w:rsid w:val="00EA2B7E"/>
    <w:rsid w:val="00EB092A"/>
    <w:rsid w:val="00EC060E"/>
    <w:rsid w:val="00EC3FDB"/>
    <w:rsid w:val="00EC7BD9"/>
    <w:rsid w:val="00ED2B72"/>
    <w:rsid w:val="00ED7F2E"/>
    <w:rsid w:val="00EE30CB"/>
    <w:rsid w:val="00EE4A95"/>
    <w:rsid w:val="00EF10AB"/>
    <w:rsid w:val="00EF26F6"/>
    <w:rsid w:val="00EF5852"/>
    <w:rsid w:val="00EF58FE"/>
    <w:rsid w:val="00EF5CA4"/>
    <w:rsid w:val="00F00F18"/>
    <w:rsid w:val="00F02ADA"/>
    <w:rsid w:val="00F02FB0"/>
    <w:rsid w:val="00F068C8"/>
    <w:rsid w:val="00F07C74"/>
    <w:rsid w:val="00F17949"/>
    <w:rsid w:val="00F212EF"/>
    <w:rsid w:val="00F21652"/>
    <w:rsid w:val="00F31043"/>
    <w:rsid w:val="00F31F24"/>
    <w:rsid w:val="00F331CB"/>
    <w:rsid w:val="00F35B95"/>
    <w:rsid w:val="00F40385"/>
    <w:rsid w:val="00F41F5F"/>
    <w:rsid w:val="00F46B71"/>
    <w:rsid w:val="00F507A9"/>
    <w:rsid w:val="00F717E2"/>
    <w:rsid w:val="00F74CCA"/>
    <w:rsid w:val="00F752FD"/>
    <w:rsid w:val="00F76133"/>
    <w:rsid w:val="00F76BB0"/>
    <w:rsid w:val="00F81A39"/>
    <w:rsid w:val="00F83BA0"/>
    <w:rsid w:val="00F84B67"/>
    <w:rsid w:val="00F9718F"/>
    <w:rsid w:val="00FA5EE9"/>
    <w:rsid w:val="00FB0E9F"/>
    <w:rsid w:val="00FB3840"/>
    <w:rsid w:val="00FB4704"/>
    <w:rsid w:val="00FB5273"/>
    <w:rsid w:val="00FC2B1C"/>
    <w:rsid w:val="00FC3677"/>
    <w:rsid w:val="00FD07BE"/>
    <w:rsid w:val="00FD0C6E"/>
    <w:rsid w:val="00FD5559"/>
    <w:rsid w:val="00FE0ABD"/>
    <w:rsid w:val="00FF0774"/>
    <w:rsid w:val="00FF21D5"/>
    <w:rsid w:val="00FF2ED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158FA6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1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F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3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7B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C3F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2D1F96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F21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5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10</Pages>
  <Words>4564</Words>
  <Characters>26021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Ivana Jelić</cp:lastModifiedBy>
  <cp:revision>42</cp:revision>
  <cp:lastPrinted>2024-11-08T12:32:00Z</cp:lastPrinted>
  <dcterms:created xsi:type="dcterms:W3CDTF">2025-10-28T07:50:00Z</dcterms:created>
  <dcterms:modified xsi:type="dcterms:W3CDTF">2025-12-31T08:02:00Z</dcterms:modified>
</cp:coreProperties>
</file>